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bCs/>
          <w:color w:val="003865"/>
          <w:sz w:val="32"/>
          <w:szCs w:val="32"/>
          <w:lang w:bidi="ar-SA"/>
        </w:rPr>
        <w:id w:val="10729564"/>
        <w:docPartObj>
          <w:docPartGallery w:val="Cover Pages"/>
          <w:docPartUnique/>
        </w:docPartObj>
      </w:sdtPr>
      <w:sdtEndPr>
        <w:rPr>
          <w:b w:val="0"/>
        </w:rPr>
      </w:sdtEndPr>
      <w:sdtContent>
        <w:p w14:paraId="001922D4" w14:textId="77777777" w:rsidR="00D86B7B" w:rsidRDefault="00D86B7B" w:rsidP="00FA5998">
          <w:pPr>
            <w:widowControl w:val="0"/>
            <w:spacing w:before="0"/>
            <w:rPr>
              <w:rFonts w:asciiTheme="minorHAnsi" w:eastAsiaTheme="majorEastAsia" w:hAnsiTheme="minorHAnsi" w:cstheme="majorBidi"/>
              <w:b/>
              <w:bCs/>
              <w:color w:val="003865"/>
              <w:sz w:val="32"/>
              <w:szCs w:val="32"/>
              <w:lang w:bidi="ar-SA"/>
            </w:rPr>
          </w:pPr>
          <w:r>
            <w:rPr>
              <w:noProof/>
              <w:lang w:bidi="ar-SA"/>
            </w:rPr>
            <w:drawing>
              <wp:inline distT="0" distB="0" distL="0" distR="0" wp14:anchorId="798CCB1B" wp14:editId="2958C2B2">
                <wp:extent cx="2743197" cy="634744"/>
                <wp:effectExtent l="0" t="0" r="635" b="0"/>
                <wp:docPr id="1" name="Picture 1" descr="MnDOT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14:paraId="5F59D018" w14:textId="77777777" w:rsidR="00115255" w:rsidRDefault="00115255" w:rsidP="00FA5998">
          <w:pPr>
            <w:widowControl w:val="0"/>
            <w:spacing w:before="0"/>
            <w:jc w:val="right"/>
            <w:rPr>
              <w:color w:val="003865" w:themeColor="text1"/>
            </w:rPr>
          </w:pPr>
          <w:r>
            <w:rPr>
              <w:color w:val="003865" w:themeColor="text1"/>
            </w:rPr>
            <w:t>Consultant Services Unit</w:t>
          </w:r>
          <w:r w:rsidRPr="007F5A9C">
            <w:rPr>
              <w:color w:val="003865" w:themeColor="text1"/>
            </w:rPr>
            <w:t xml:space="preserve"> </w:t>
          </w:r>
        </w:p>
        <w:p w14:paraId="13910197" w14:textId="77777777" w:rsidR="00D86B7B" w:rsidRDefault="00D86B7B" w:rsidP="00FA5998">
          <w:pPr>
            <w:widowControl w:val="0"/>
            <w:spacing w:before="0"/>
            <w:jc w:val="right"/>
            <w:rPr>
              <w:color w:val="003865" w:themeColor="text1"/>
            </w:rPr>
          </w:pPr>
          <w:r w:rsidRPr="007F5A9C">
            <w:rPr>
              <w:color w:val="003865" w:themeColor="text1"/>
            </w:rPr>
            <w:t>395 John Ireland Blvd.</w:t>
          </w:r>
          <w:r w:rsidR="00DF6BCA" w:rsidRPr="00DF6BCA">
            <w:rPr>
              <w:color w:val="003865" w:themeColor="text1"/>
            </w:rPr>
            <w:t>, Mail Stop 680</w:t>
          </w:r>
        </w:p>
        <w:p w14:paraId="3CF6A8F1" w14:textId="77777777" w:rsidR="00115255" w:rsidRDefault="00D86B7B" w:rsidP="00FA5998">
          <w:pPr>
            <w:widowControl w:val="0"/>
            <w:spacing w:before="0"/>
            <w:jc w:val="right"/>
            <w:rPr>
              <w:color w:val="FF0000"/>
            </w:rPr>
            <w:sectPr w:rsidR="00115255"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r w:rsidRPr="007F5A9C">
            <w:rPr>
              <w:color w:val="003865" w:themeColor="text1"/>
            </w:rPr>
            <w:t>St. Paul, MN 55155</w:t>
          </w:r>
        </w:p>
        <w:p w14:paraId="5DBBEA09" w14:textId="77777777" w:rsidR="00BE3444" w:rsidRPr="00BE3444" w:rsidRDefault="00A1415F" w:rsidP="00FA5998">
          <w:pPr>
            <w:pStyle w:val="Heading1"/>
            <w:keepNext w:val="0"/>
            <w:keepLines w:val="0"/>
            <w:widowControl w:val="0"/>
            <w:rPr>
              <w:lang w:bidi="ar-SA"/>
            </w:rPr>
          </w:pPr>
          <w:r>
            <w:rPr>
              <w:lang w:bidi="ar-SA"/>
            </w:rPr>
            <w:t>Pre-</w:t>
          </w:r>
          <w:r w:rsidR="008A0D5A">
            <w:rPr>
              <w:lang w:bidi="ar-SA"/>
            </w:rPr>
            <w:t>Letting Services General Engineering Contractor (GEC)</w:t>
          </w:r>
          <w:r w:rsidR="00DF6BCA">
            <w:rPr>
              <w:lang w:bidi="ar-SA"/>
            </w:rPr>
            <w:t xml:space="preserve"> Master Contract Program</w:t>
          </w:r>
          <w:r w:rsidR="00BB0FA1">
            <w:rPr>
              <w:lang w:bidi="ar-SA"/>
            </w:rPr>
            <w:t xml:space="preserve"> | 2019</w:t>
          </w:r>
        </w:p>
        <w:p w14:paraId="0D0E35DC" w14:textId="77777777" w:rsidR="00BE3444" w:rsidRPr="00BE3444" w:rsidRDefault="007258D1" w:rsidP="00FA5998">
          <w:pPr>
            <w:pStyle w:val="Heading2"/>
            <w:keepNext w:val="0"/>
            <w:keepLines w:val="0"/>
            <w:widowControl w:val="0"/>
            <w:rPr>
              <w:lang w:bidi="ar-SA"/>
            </w:rPr>
          </w:pPr>
          <w:r>
            <w:rPr>
              <w:lang w:bidi="ar-SA"/>
            </w:rPr>
            <w:t xml:space="preserve">Program </w:t>
          </w:r>
          <w:r w:rsidR="00AC7C68">
            <w:rPr>
              <w:lang w:bidi="ar-SA"/>
            </w:rPr>
            <w:t>O</w:t>
          </w:r>
          <w:r>
            <w:rPr>
              <w:lang w:bidi="ar-SA"/>
            </w:rPr>
            <w:t>verview</w:t>
          </w:r>
        </w:p>
        <w:p w14:paraId="7535038C" w14:textId="77777777" w:rsidR="009574C5" w:rsidRPr="009574C5" w:rsidRDefault="009574C5" w:rsidP="006C1029">
          <w:pPr>
            <w:pStyle w:val="BodyText"/>
            <w:rPr>
              <w:rFonts w:eastAsia="Arial Unicode MS"/>
            </w:rPr>
          </w:pPr>
          <w:r w:rsidRPr="009574C5">
            <w:rPr>
              <w:rFonts w:eastAsia="Arial Unicode MS"/>
            </w:rPr>
            <w:t xml:space="preserve">This GEC Master Contract Program supports </w:t>
          </w:r>
          <w:r>
            <w:rPr>
              <w:rFonts w:eastAsia="Arial Unicode MS"/>
            </w:rPr>
            <w:t>MnDOT</w:t>
          </w:r>
          <w:r w:rsidRPr="009574C5">
            <w:rPr>
              <w:rFonts w:eastAsia="Arial Unicode MS"/>
            </w:rPr>
            <w:t xml:space="preserve">’s needs for preconstruction design bid build project activities and services. There are </w:t>
          </w:r>
          <w:r>
            <w:rPr>
              <w:rFonts w:eastAsia="Arial Unicode MS"/>
            </w:rPr>
            <w:t>eight</w:t>
          </w:r>
          <w:r w:rsidRPr="009574C5">
            <w:rPr>
              <w:rFonts w:eastAsia="Arial Unicode MS"/>
            </w:rPr>
            <w:t xml:space="preserve"> Master Contract GEC consultants, and their Master Contracts define the general terms and conditions under which preconstruction services will be conducted. As specific needs are identified, Work Order Contracts will be executed to clearly define tasks, schedules, deliverables, staffing, and costs necessary to deliver the specific project tasks.</w:t>
          </w:r>
        </w:p>
        <w:p w14:paraId="0DD60EC5" w14:textId="0D1E9304" w:rsidR="009574C5" w:rsidRPr="009574C5" w:rsidRDefault="009574C5" w:rsidP="006C1029">
          <w:pPr>
            <w:pStyle w:val="BodyText"/>
            <w:rPr>
              <w:rFonts w:eastAsia="Arial Unicode MS"/>
            </w:rPr>
          </w:pPr>
          <w:r w:rsidRPr="009574C5">
            <w:rPr>
              <w:rFonts w:eastAsia="Arial Unicode MS"/>
            </w:rPr>
            <w:t xml:space="preserve">The Program is administered and managed by </w:t>
          </w:r>
          <w:r w:rsidR="00A41763">
            <w:rPr>
              <w:rFonts w:eastAsia="Arial Unicode MS"/>
            </w:rPr>
            <w:t>Michael Beer</w:t>
          </w:r>
          <w:r w:rsidRPr="009574C5">
            <w:rPr>
              <w:rFonts w:eastAsia="Arial Unicode MS"/>
            </w:rPr>
            <w:t xml:space="preserve">, Assistant Division Director – Engineering Services Division.  Work Order Contracts related to specific projects, will be </w:t>
          </w:r>
          <w:proofErr w:type="gramStart"/>
          <w:r w:rsidRPr="009574C5">
            <w:rPr>
              <w:rFonts w:eastAsia="Arial Unicode MS"/>
            </w:rPr>
            <w:t>admi</w:t>
          </w:r>
          <w:r>
            <w:rPr>
              <w:rFonts w:eastAsia="Arial Unicode MS"/>
            </w:rPr>
            <w:t>nistered</w:t>
          </w:r>
          <w:proofErr w:type="gramEnd"/>
          <w:r>
            <w:rPr>
              <w:rFonts w:eastAsia="Arial Unicode MS"/>
            </w:rPr>
            <w:t xml:space="preserve"> and managed by Consultant Services</w:t>
          </w:r>
          <w:r w:rsidRPr="009574C5">
            <w:rPr>
              <w:rFonts w:eastAsia="Arial Unicode MS"/>
            </w:rPr>
            <w:t xml:space="preserve"> in close coordination with other districts and offices within MnDOT.  Work Order costs need to be in between $100,000 and $1,000,000.  A Work Order should not exceed $1,000,000 inclusive of all amendments.   Disadvantaged Business Enterprises (DBE's), Targeted Group Businesses (TGB's) and Veteran Owned Businesses (VET) and any other certified small business should be a measurable component of each Work Order when appropriate. Whenever possible, MnDOT strongly encourages the use of certified DBEs, TGBs and </w:t>
          </w:r>
          <w:r w:rsidR="00CE6020">
            <w:rPr>
              <w:rFonts w:eastAsia="Arial Unicode MS"/>
            </w:rPr>
            <w:t>VETs</w:t>
          </w:r>
          <w:r w:rsidRPr="009574C5">
            <w:rPr>
              <w:rFonts w:eastAsia="Arial Unicode MS"/>
            </w:rPr>
            <w:t xml:space="preserve">.  </w:t>
          </w:r>
        </w:p>
        <w:p w14:paraId="6801473F" w14:textId="77777777" w:rsidR="007258D1" w:rsidRPr="007258D1" w:rsidRDefault="007258D1" w:rsidP="00FA5998">
          <w:pPr>
            <w:pStyle w:val="Heading2"/>
            <w:keepNext w:val="0"/>
            <w:keepLines w:val="0"/>
            <w:widowControl w:val="0"/>
            <w:rPr>
              <w:rFonts w:eastAsia="Times New Roman" w:cs="Times New Roman"/>
              <w:b w:val="0"/>
              <w:bCs w:val="0"/>
              <w:color w:val="auto"/>
              <w:sz w:val="22"/>
              <w:szCs w:val="22"/>
              <w:lang w:bidi="ar-SA"/>
            </w:rPr>
          </w:pPr>
          <w:r>
            <w:t>What type of work can this Program be used for?</w:t>
          </w:r>
        </w:p>
      </w:sdtContent>
    </w:sdt>
    <w:p w14:paraId="1417381F" w14:textId="77777777" w:rsidR="009574C5" w:rsidRPr="00915ED2" w:rsidRDefault="009574C5" w:rsidP="00FA5998">
      <w:pPr>
        <w:pStyle w:val="Headline"/>
        <w:keepNext w:val="0"/>
        <w:widowControl w:val="0"/>
        <w:rPr>
          <w:rFonts w:ascii="Calibri" w:hAnsi="Calibri" w:cs="Calibri"/>
          <w:b/>
          <w:sz w:val="22"/>
          <w:szCs w:val="22"/>
        </w:rPr>
      </w:pPr>
      <w:r w:rsidRPr="00915ED2">
        <w:rPr>
          <w:rFonts w:ascii="Calibri" w:hAnsi="Calibri" w:cs="Calibri"/>
          <w:b/>
          <w:sz w:val="22"/>
          <w:szCs w:val="22"/>
        </w:rPr>
        <w:t>Project Development.  This includes, but is not limited to:</w:t>
      </w:r>
    </w:p>
    <w:p w14:paraId="59D0B6E1" w14:textId="77777777" w:rsidR="00915ED2" w:rsidRPr="00915ED2" w:rsidRDefault="00915ED2" w:rsidP="00FA5998">
      <w:pPr>
        <w:widowControl w:val="0"/>
        <w:numPr>
          <w:ilvl w:val="0"/>
          <w:numId w:val="33"/>
        </w:numPr>
        <w:spacing w:before="0" w:line="240" w:lineRule="auto"/>
        <w:ind w:left="360"/>
        <w:rPr>
          <w:rFonts w:cs="Calibri"/>
          <w:b/>
        </w:rPr>
        <w:sectPr w:rsidR="00915ED2" w:rsidRPr="00915ED2" w:rsidSect="00D86B7B">
          <w:headerReference w:type="even" r:id="rId11"/>
          <w:headerReference w:type="default" r:id="rId12"/>
          <w:footerReference w:type="even" r:id="rId13"/>
          <w:headerReference w:type="first" r:id="rId14"/>
          <w:footerReference w:type="first" r:id="rId15"/>
          <w:type w:val="continuous"/>
          <w:pgSz w:w="12240" w:h="15840" w:code="1"/>
          <w:pgMar w:top="1440" w:right="1080" w:bottom="1080" w:left="1080" w:header="0" w:footer="504" w:gutter="0"/>
          <w:cols w:space="720"/>
          <w:docGrid w:linePitch="326"/>
        </w:sectPr>
      </w:pPr>
    </w:p>
    <w:p w14:paraId="3704C9BA"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Bridge Specifications and Design Criteria</w:t>
      </w:r>
    </w:p>
    <w:p w14:paraId="4DBBC54D"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Bridge Plans</w:t>
      </w:r>
    </w:p>
    <w:p w14:paraId="378D07EB"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Bridge Visual Quality</w:t>
      </w:r>
    </w:p>
    <w:p w14:paraId="3875A042"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Road Design</w:t>
      </w:r>
    </w:p>
    <w:p w14:paraId="1391CE4F"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Geometric Layouts</w:t>
      </w:r>
    </w:p>
    <w:p w14:paraId="5BA4675E"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Noise Analysis</w:t>
      </w:r>
    </w:p>
    <w:p w14:paraId="4D1E639B"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Environmental Documentation</w:t>
      </w:r>
    </w:p>
    <w:p w14:paraId="21DFFEB6"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Soils Survey and Letter</w:t>
      </w:r>
    </w:p>
    <w:p w14:paraId="293B57F2"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Pavement Type Selection</w:t>
      </w:r>
    </w:p>
    <w:p w14:paraId="64A9B1DC"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Soils Review and Approval</w:t>
      </w:r>
    </w:p>
    <w:p w14:paraId="5D1921AF"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Foundation Recommendations</w:t>
      </w:r>
    </w:p>
    <w:p w14:paraId="282E0B78"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Public Involvement Meeting</w:t>
      </w:r>
    </w:p>
    <w:p w14:paraId="097ACCB8"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Traffic Engineering and Forecasting</w:t>
      </w:r>
    </w:p>
    <w:p w14:paraId="470C6551"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Surveying</w:t>
      </w:r>
    </w:p>
    <w:p w14:paraId="4197B04A"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Utility Coordination</w:t>
      </w:r>
    </w:p>
    <w:p w14:paraId="7352D4E1"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Preliminary/Final Hydraulics Design</w:t>
      </w:r>
    </w:p>
    <w:p w14:paraId="4BBDBF50"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Right-of-Way</w:t>
      </w:r>
    </w:p>
    <w:p w14:paraId="49613867"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Scoping</w:t>
      </w:r>
    </w:p>
    <w:p w14:paraId="31BDA72D" w14:textId="77777777" w:rsidR="009574C5" w:rsidRPr="00FA5998" w:rsidRDefault="009574C5" w:rsidP="00FA5998">
      <w:pPr>
        <w:widowControl w:val="0"/>
        <w:numPr>
          <w:ilvl w:val="0"/>
          <w:numId w:val="33"/>
        </w:numPr>
        <w:spacing w:before="0" w:line="240" w:lineRule="auto"/>
        <w:ind w:left="360"/>
        <w:rPr>
          <w:rFonts w:cs="Calibri"/>
        </w:rPr>
      </w:pPr>
      <w:r w:rsidRPr="00FA5998">
        <w:rPr>
          <w:rFonts w:cs="Calibri"/>
        </w:rPr>
        <w:t>MnDOT Project Management Staff Development</w:t>
      </w:r>
    </w:p>
    <w:p w14:paraId="53C3486E" w14:textId="77777777" w:rsidR="009574C5" w:rsidRPr="00A33474" w:rsidRDefault="009574C5" w:rsidP="00FA5998">
      <w:pPr>
        <w:widowControl w:val="0"/>
        <w:numPr>
          <w:ilvl w:val="0"/>
          <w:numId w:val="33"/>
        </w:numPr>
        <w:spacing w:before="0" w:line="240" w:lineRule="auto"/>
        <w:ind w:left="360"/>
      </w:pPr>
      <w:r w:rsidRPr="00A33474">
        <w:t xml:space="preserve">Special Project Documents </w:t>
      </w:r>
    </w:p>
    <w:p w14:paraId="05BE910F" w14:textId="77777777" w:rsidR="009574C5" w:rsidRPr="00A33474" w:rsidRDefault="009574C5" w:rsidP="00FA5998">
      <w:pPr>
        <w:widowControl w:val="0"/>
        <w:numPr>
          <w:ilvl w:val="0"/>
          <w:numId w:val="33"/>
        </w:numPr>
        <w:spacing w:before="0" w:line="240" w:lineRule="auto"/>
        <w:ind w:left="360"/>
      </w:pPr>
      <w:r w:rsidRPr="00A33474">
        <w:t xml:space="preserve">Economic Analysis </w:t>
      </w:r>
    </w:p>
    <w:p w14:paraId="7ACFB1E8" w14:textId="77777777" w:rsidR="009574C5" w:rsidRPr="00A33474" w:rsidRDefault="009574C5" w:rsidP="00FA5998">
      <w:pPr>
        <w:widowControl w:val="0"/>
        <w:numPr>
          <w:ilvl w:val="0"/>
          <w:numId w:val="33"/>
        </w:numPr>
        <w:spacing w:before="0" w:line="240" w:lineRule="auto"/>
        <w:ind w:left="360"/>
      </w:pPr>
      <w:r w:rsidRPr="00A33474">
        <w:t>Permits</w:t>
      </w:r>
    </w:p>
    <w:p w14:paraId="0CE8F9BC" w14:textId="77777777" w:rsidR="009574C5" w:rsidRPr="00A33474" w:rsidRDefault="009574C5" w:rsidP="00FA5998">
      <w:pPr>
        <w:widowControl w:val="0"/>
        <w:numPr>
          <w:ilvl w:val="0"/>
          <w:numId w:val="33"/>
        </w:numPr>
        <w:spacing w:before="0" w:line="240" w:lineRule="auto"/>
        <w:ind w:left="360"/>
      </w:pPr>
      <w:r w:rsidRPr="00A33474">
        <w:t>Agreements</w:t>
      </w:r>
    </w:p>
    <w:p w14:paraId="60C15CDD" w14:textId="77777777" w:rsidR="009574C5" w:rsidRPr="00A33474" w:rsidRDefault="009574C5" w:rsidP="00FA5998">
      <w:pPr>
        <w:widowControl w:val="0"/>
        <w:numPr>
          <w:ilvl w:val="0"/>
          <w:numId w:val="33"/>
        </w:numPr>
        <w:spacing w:before="0" w:line="240" w:lineRule="auto"/>
        <w:ind w:left="360"/>
      </w:pPr>
      <w:r w:rsidRPr="00A33474">
        <w:t>Alternative Procurement Methodologies</w:t>
      </w:r>
    </w:p>
    <w:p w14:paraId="751473A2" w14:textId="77777777" w:rsidR="009574C5" w:rsidRPr="00A33474" w:rsidRDefault="009574C5" w:rsidP="00FA5998">
      <w:pPr>
        <w:widowControl w:val="0"/>
        <w:numPr>
          <w:ilvl w:val="0"/>
          <w:numId w:val="33"/>
        </w:numPr>
        <w:spacing w:before="0" w:line="240" w:lineRule="auto"/>
        <w:ind w:left="360"/>
      </w:pPr>
      <w:r w:rsidRPr="00A33474">
        <w:t>Visualization, 3D Design and 4D Scheduling</w:t>
      </w:r>
    </w:p>
    <w:p w14:paraId="2CA4F687" w14:textId="77777777" w:rsidR="009574C5" w:rsidRPr="00A33474" w:rsidRDefault="009574C5" w:rsidP="00FA5998">
      <w:pPr>
        <w:widowControl w:val="0"/>
        <w:numPr>
          <w:ilvl w:val="0"/>
          <w:numId w:val="33"/>
        </w:numPr>
        <w:spacing w:before="0" w:line="240" w:lineRule="auto"/>
        <w:ind w:left="360"/>
      </w:pPr>
      <w:r w:rsidRPr="00A33474">
        <w:t>P6 Scheduling</w:t>
      </w:r>
    </w:p>
    <w:p w14:paraId="4F926971" w14:textId="77777777" w:rsidR="009574C5" w:rsidRPr="00A33474" w:rsidRDefault="009574C5" w:rsidP="00FA5998">
      <w:pPr>
        <w:widowControl w:val="0"/>
        <w:numPr>
          <w:ilvl w:val="0"/>
          <w:numId w:val="33"/>
        </w:numPr>
        <w:spacing w:before="0" w:line="240" w:lineRule="auto"/>
        <w:ind w:left="360"/>
      </w:pPr>
      <w:r w:rsidRPr="00A33474">
        <w:t>Risk Analysis</w:t>
      </w:r>
    </w:p>
    <w:p w14:paraId="3EE3EA12" w14:textId="77777777" w:rsidR="009574C5" w:rsidRPr="00A33474" w:rsidRDefault="009574C5" w:rsidP="00FA5998">
      <w:pPr>
        <w:widowControl w:val="0"/>
        <w:numPr>
          <w:ilvl w:val="0"/>
          <w:numId w:val="33"/>
        </w:numPr>
        <w:spacing w:before="0" w:line="240" w:lineRule="auto"/>
        <w:ind w:left="360"/>
      </w:pPr>
      <w:r w:rsidRPr="00A33474">
        <w:t>Project Cost Estimating (including conceptual and contractor style estimates)</w:t>
      </w:r>
    </w:p>
    <w:p w14:paraId="48977C18" w14:textId="77777777" w:rsidR="009574C5" w:rsidRPr="00BE105E" w:rsidRDefault="009574C5" w:rsidP="00FA5998">
      <w:pPr>
        <w:widowControl w:val="0"/>
        <w:numPr>
          <w:ilvl w:val="0"/>
          <w:numId w:val="33"/>
        </w:numPr>
        <w:spacing w:before="0" w:line="240" w:lineRule="auto"/>
        <w:ind w:left="360"/>
      </w:pPr>
      <w:r w:rsidRPr="00A33474">
        <w:t>Other project development tasks</w:t>
      </w:r>
    </w:p>
    <w:p w14:paraId="76809076" w14:textId="77777777" w:rsidR="00915ED2" w:rsidRDefault="00915ED2" w:rsidP="00FA5998">
      <w:pPr>
        <w:pStyle w:val="Headline"/>
        <w:keepNext w:val="0"/>
        <w:widowControl w:val="0"/>
        <w:rPr>
          <w:rFonts w:ascii="Times New Roman" w:hAnsi="Times New Roman"/>
          <w:b/>
          <w:sz w:val="22"/>
          <w:szCs w:val="22"/>
        </w:rPr>
        <w:sectPr w:rsidR="00915ED2" w:rsidSect="00915ED2">
          <w:type w:val="continuous"/>
          <w:pgSz w:w="12240" w:h="15840" w:code="1"/>
          <w:pgMar w:top="1440" w:right="1080" w:bottom="1080" w:left="1080" w:header="0" w:footer="504" w:gutter="0"/>
          <w:cols w:num="2" w:space="720"/>
          <w:docGrid w:linePitch="326"/>
        </w:sectPr>
      </w:pPr>
    </w:p>
    <w:p w14:paraId="3D3306B6" w14:textId="77777777" w:rsidR="009574C5" w:rsidRDefault="009574C5" w:rsidP="00FA5998">
      <w:pPr>
        <w:pStyle w:val="Headline"/>
        <w:keepNext w:val="0"/>
        <w:widowControl w:val="0"/>
        <w:rPr>
          <w:rFonts w:ascii="Times New Roman" w:hAnsi="Times New Roman"/>
          <w:b/>
          <w:sz w:val="22"/>
          <w:szCs w:val="22"/>
        </w:rPr>
      </w:pPr>
    </w:p>
    <w:p w14:paraId="69955A18" w14:textId="77777777" w:rsidR="00915ED2" w:rsidRDefault="00915ED2" w:rsidP="00FA5998">
      <w:pPr>
        <w:pStyle w:val="Headline"/>
        <w:keepNext w:val="0"/>
        <w:widowControl w:val="0"/>
        <w:rPr>
          <w:rFonts w:ascii="Times New Roman" w:hAnsi="Times New Roman"/>
          <w:b/>
          <w:sz w:val="22"/>
          <w:szCs w:val="22"/>
        </w:rPr>
      </w:pPr>
    </w:p>
    <w:p w14:paraId="21AE2CBA" w14:textId="77777777" w:rsidR="007258D1" w:rsidRDefault="007258D1" w:rsidP="00FA5998">
      <w:pPr>
        <w:pStyle w:val="Heading2"/>
        <w:keepNext w:val="0"/>
        <w:keepLines w:val="0"/>
        <w:widowControl w:val="0"/>
        <w:rPr>
          <w:lang w:bidi="ar-SA"/>
        </w:rPr>
      </w:pPr>
      <w:r>
        <w:rPr>
          <w:lang w:bidi="ar-SA"/>
        </w:rPr>
        <w:lastRenderedPageBreak/>
        <w:t>Master Contract Consultants</w:t>
      </w:r>
    </w:p>
    <w:p w14:paraId="31F6A587" w14:textId="77777777" w:rsidR="00CE6020" w:rsidRDefault="00CE6020" w:rsidP="0005591C">
      <w:pPr>
        <w:widowControl w:val="0"/>
        <w:numPr>
          <w:ilvl w:val="0"/>
          <w:numId w:val="33"/>
        </w:numPr>
        <w:spacing w:before="0" w:line="240" w:lineRule="auto"/>
        <w:ind w:left="360"/>
        <w:rPr>
          <w:lang w:bidi="ar-SA"/>
        </w:rPr>
        <w:sectPr w:rsidR="00CE6020" w:rsidSect="00D86B7B">
          <w:type w:val="continuous"/>
          <w:pgSz w:w="12240" w:h="15840" w:code="1"/>
          <w:pgMar w:top="1440" w:right="1080" w:bottom="1080" w:left="1080" w:header="0" w:footer="504" w:gutter="0"/>
          <w:cols w:space="720"/>
          <w:docGrid w:linePitch="326"/>
        </w:sectPr>
      </w:pPr>
    </w:p>
    <w:p w14:paraId="5E38EA3B" w14:textId="77777777" w:rsidR="009574C5" w:rsidRDefault="0005591C" w:rsidP="0005591C">
      <w:pPr>
        <w:widowControl w:val="0"/>
        <w:numPr>
          <w:ilvl w:val="0"/>
          <w:numId w:val="33"/>
        </w:numPr>
        <w:spacing w:before="0" w:line="240" w:lineRule="auto"/>
        <w:ind w:left="360"/>
        <w:rPr>
          <w:lang w:bidi="ar-SA"/>
        </w:rPr>
      </w:pPr>
      <w:r>
        <w:rPr>
          <w:lang w:bidi="ar-SA"/>
        </w:rPr>
        <w:t>Alliant Engineering, Inc.</w:t>
      </w:r>
    </w:p>
    <w:p w14:paraId="487ED07F" w14:textId="77777777" w:rsidR="0005591C" w:rsidRDefault="0005591C" w:rsidP="0005591C">
      <w:pPr>
        <w:widowControl w:val="0"/>
        <w:numPr>
          <w:ilvl w:val="0"/>
          <w:numId w:val="33"/>
        </w:numPr>
        <w:spacing w:before="0" w:line="240" w:lineRule="auto"/>
        <w:ind w:left="360"/>
        <w:rPr>
          <w:lang w:bidi="ar-SA"/>
        </w:rPr>
      </w:pPr>
      <w:r>
        <w:rPr>
          <w:lang w:bidi="ar-SA"/>
        </w:rPr>
        <w:t>HDR Engineering, Inc.</w:t>
      </w:r>
    </w:p>
    <w:p w14:paraId="441163AA" w14:textId="77777777" w:rsidR="0005591C" w:rsidRDefault="0005591C" w:rsidP="0005591C">
      <w:pPr>
        <w:widowControl w:val="0"/>
        <w:numPr>
          <w:ilvl w:val="0"/>
          <w:numId w:val="33"/>
        </w:numPr>
        <w:spacing w:before="0" w:line="240" w:lineRule="auto"/>
        <w:ind w:left="360"/>
        <w:rPr>
          <w:lang w:bidi="ar-SA"/>
        </w:rPr>
      </w:pPr>
      <w:r>
        <w:rPr>
          <w:lang w:bidi="ar-SA"/>
        </w:rPr>
        <w:t>Isthmus Engineering, Inc.</w:t>
      </w:r>
    </w:p>
    <w:p w14:paraId="6A294E31" w14:textId="77777777" w:rsidR="0005591C" w:rsidRDefault="0005591C" w:rsidP="0005591C">
      <w:pPr>
        <w:widowControl w:val="0"/>
        <w:numPr>
          <w:ilvl w:val="0"/>
          <w:numId w:val="33"/>
        </w:numPr>
        <w:spacing w:before="0" w:line="240" w:lineRule="auto"/>
        <w:ind w:left="360"/>
        <w:rPr>
          <w:lang w:bidi="ar-SA"/>
        </w:rPr>
      </w:pPr>
      <w:proofErr w:type="spellStart"/>
      <w:r>
        <w:rPr>
          <w:lang w:bidi="ar-SA"/>
        </w:rPr>
        <w:t>Sambatek</w:t>
      </w:r>
      <w:proofErr w:type="spellEnd"/>
      <w:r>
        <w:rPr>
          <w:lang w:bidi="ar-SA"/>
        </w:rPr>
        <w:t>, Inc.</w:t>
      </w:r>
    </w:p>
    <w:p w14:paraId="4DA99B0C" w14:textId="77777777" w:rsidR="0005591C" w:rsidRDefault="0005591C" w:rsidP="0005591C">
      <w:pPr>
        <w:widowControl w:val="0"/>
        <w:numPr>
          <w:ilvl w:val="0"/>
          <w:numId w:val="33"/>
        </w:numPr>
        <w:spacing w:before="0" w:line="240" w:lineRule="auto"/>
        <w:ind w:left="360"/>
        <w:rPr>
          <w:lang w:bidi="ar-SA"/>
        </w:rPr>
      </w:pPr>
      <w:r>
        <w:rPr>
          <w:lang w:bidi="ar-SA"/>
        </w:rPr>
        <w:t>Short Elliott Hendrickson, Inc.</w:t>
      </w:r>
    </w:p>
    <w:p w14:paraId="7EADEEC0" w14:textId="77777777" w:rsidR="0005591C" w:rsidRDefault="0005591C" w:rsidP="0005591C">
      <w:pPr>
        <w:widowControl w:val="0"/>
        <w:numPr>
          <w:ilvl w:val="0"/>
          <w:numId w:val="33"/>
        </w:numPr>
        <w:spacing w:before="0" w:line="240" w:lineRule="auto"/>
        <w:ind w:left="360"/>
        <w:rPr>
          <w:lang w:bidi="ar-SA"/>
        </w:rPr>
      </w:pPr>
      <w:r>
        <w:rPr>
          <w:lang w:bidi="ar-SA"/>
        </w:rPr>
        <w:t>SRF Consulting Group, Inc.</w:t>
      </w:r>
    </w:p>
    <w:p w14:paraId="71AD4252" w14:textId="77777777" w:rsidR="0005591C" w:rsidRDefault="0005591C" w:rsidP="0005591C">
      <w:pPr>
        <w:widowControl w:val="0"/>
        <w:numPr>
          <w:ilvl w:val="0"/>
          <w:numId w:val="33"/>
        </w:numPr>
        <w:spacing w:before="0" w:line="240" w:lineRule="auto"/>
        <w:ind w:left="360"/>
        <w:rPr>
          <w:lang w:bidi="ar-SA"/>
        </w:rPr>
      </w:pPr>
      <w:proofErr w:type="spellStart"/>
      <w:r>
        <w:rPr>
          <w:lang w:bidi="ar-SA"/>
        </w:rPr>
        <w:t>Toltz</w:t>
      </w:r>
      <w:proofErr w:type="spellEnd"/>
      <w:r>
        <w:rPr>
          <w:lang w:bidi="ar-SA"/>
        </w:rPr>
        <w:t>, King, Duvall, Anderson and Associate</w:t>
      </w:r>
      <w:r w:rsidR="00CA0F2A">
        <w:rPr>
          <w:lang w:bidi="ar-SA"/>
        </w:rPr>
        <w:t>s</w:t>
      </w:r>
      <w:r>
        <w:rPr>
          <w:lang w:bidi="ar-SA"/>
        </w:rPr>
        <w:t>, Inc.</w:t>
      </w:r>
      <w:r w:rsidR="00CA0F2A">
        <w:rPr>
          <w:lang w:bidi="ar-SA"/>
        </w:rPr>
        <w:t xml:space="preserve"> (TKDA)</w:t>
      </w:r>
    </w:p>
    <w:p w14:paraId="1ED62652" w14:textId="77777777" w:rsidR="00CE6020" w:rsidRDefault="0005591C" w:rsidP="00CE6020">
      <w:pPr>
        <w:widowControl w:val="0"/>
        <w:numPr>
          <w:ilvl w:val="0"/>
          <w:numId w:val="33"/>
        </w:numPr>
        <w:spacing w:before="0" w:line="240" w:lineRule="auto"/>
        <w:ind w:left="360"/>
        <w:rPr>
          <w:lang w:bidi="ar-SA"/>
        </w:rPr>
        <w:sectPr w:rsidR="00CE6020" w:rsidSect="00CE6020">
          <w:type w:val="continuous"/>
          <w:pgSz w:w="12240" w:h="15840" w:code="1"/>
          <w:pgMar w:top="1440" w:right="1080" w:bottom="1080" w:left="1080" w:header="0" w:footer="504" w:gutter="0"/>
          <w:cols w:num="2" w:space="720"/>
          <w:docGrid w:linePitch="326"/>
        </w:sectPr>
      </w:pPr>
      <w:r>
        <w:rPr>
          <w:lang w:bidi="ar-SA"/>
        </w:rPr>
        <w:t>WSB &amp; Associates, Inc.</w:t>
      </w:r>
    </w:p>
    <w:p w14:paraId="1888EC3C" w14:textId="77777777" w:rsidR="00CE6020" w:rsidRPr="00CE6020" w:rsidRDefault="00CE6020" w:rsidP="00CE6020">
      <w:pPr>
        <w:pStyle w:val="Heading2"/>
        <w:keepNext w:val="0"/>
        <w:keepLines w:val="0"/>
        <w:widowControl w:val="0"/>
        <w:spacing w:before="0" w:after="0" w:line="240" w:lineRule="auto"/>
        <w:rPr>
          <w:sz w:val="18"/>
          <w:szCs w:val="18"/>
          <w:lang w:bidi="ar-SA"/>
        </w:rPr>
      </w:pPr>
    </w:p>
    <w:p w14:paraId="57DB8878" w14:textId="77777777" w:rsidR="00DA79DD" w:rsidRDefault="00DA79DD" w:rsidP="00FA5998">
      <w:pPr>
        <w:pStyle w:val="Heading2"/>
        <w:keepNext w:val="0"/>
        <w:keepLines w:val="0"/>
        <w:widowControl w:val="0"/>
        <w:rPr>
          <w:lang w:bidi="ar-SA"/>
        </w:rPr>
      </w:pPr>
      <w:r>
        <w:rPr>
          <w:lang w:bidi="ar-SA"/>
        </w:rPr>
        <w:t xml:space="preserve">When </w:t>
      </w:r>
      <w:r w:rsidR="00CE6020">
        <w:rPr>
          <w:lang w:bidi="ar-SA"/>
        </w:rPr>
        <w:t>s</w:t>
      </w:r>
      <w:r>
        <w:rPr>
          <w:lang w:bidi="ar-SA"/>
        </w:rPr>
        <w:t>hould I use this Program?</w:t>
      </w:r>
    </w:p>
    <w:p w14:paraId="1C0F5929" w14:textId="77777777" w:rsidR="009574C5" w:rsidRPr="009574C5" w:rsidRDefault="009574C5" w:rsidP="006C1029">
      <w:pPr>
        <w:pStyle w:val="BodyText"/>
      </w:pPr>
      <w:r w:rsidRPr="009574C5">
        <w:t xml:space="preserve">This Program is beneficial when MnDOT must act quickly to meet time, resource, or planning constraints.  It is appropriate for time-sensitive situations where a letting cannot be </w:t>
      </w:r>
      <w:proofErr w:type="gramStart"/>
      <w:r w:rsidRPr="009574C5">
        <w:t>met</w:t>
      </w:r>
      <w:proofErr w:type="gramEnd"/>
      <w:r w:rsidRPr="009574C5">
        <w:t xml:space="preserve"> and we do not have the time to procure a consultant with an existing method.</w:t>
      </w:r>
    </w:p>
    <w:p w14:paraId="13DC2D26" w14:textId="77777777" w:rsidR="009574C5" w:rsidRPr="009574C5" w:rsidRDefault="009574C5" w:rsidP="006C1029">
      <w:pPr>
        <w:pStyle w:val="BodyText"/>
      </w:pPr>
      <w:r w:rsidRPr="009574C5">
        <w:t>For projects that fit under MnDOT’s Pre-Qualification Program, you should utilize all levels (Direct Select, Letter of Interest (LOI)</w:t>
      </w:r>
      <w:r>
        <w:t xml:space="preserve"> or a Request for Proposals (RFP</w:t>
      </w:r>
      <w:r w:rsidRPr="009574C5">
        <w:t>)</w:t>
      </w:r>
      <w:r>
        <w:t>)</w:t>
      </w:r>
      <w:r w:rsidRPr="009574C5">
        <w:t xml:space="preserve"> whenever possible.  For projects that are over $100K, this GEC Program provides a </w:t>
      </w:r>
      <w:r w:rsidRPr="009574C5">
        <w:rPr>
          <w:u w:val="single"/>
        </w:rPr>
        <w:t>significant</w:t>
      </w:r>
      <w:r w:rsidRPr="009574C5">
        <w:t xml:space="preserve"> time savings benefit (see below). However, for contracts under $100K, the GEC Program provides little time savings compared to the Pre-Qualification Program.</w:t>
      </w:r>
    </w:p>
    <w:p w14:paraId="00BCC793" w14:textId="77777777" w:rsidR="00DA79DD" w:rsidRDefault="00DA79DD" w:rsidP="00FA5998">
      <w:pPr>
        <w:pStyle w:val="Heading2"/>
        <w:keepNext w:val="0"/>
        <w:keepLines w:val="0"/>
        <w:widowControl w:val="0"/>
      </w:pPr>
      <w:r>
        <w:t>How do I get a contract/work order started?</w:t>
      </w:r>
    </w:p>
    <w:p w14:paraId="654111CA" w14:textId="3D6709CE" w:rsidR="009574C5" w:rsidRPr="009574C5" w:rsidRDefault="009574C5" w:rsidP="00FA5998">
      <w:pPr>
        <w:widowControl w:val="0"/>
        <w:numPr>
          <w:ilvl w:val="0"/>
          <w:numId w:val="35"/>
        </w:numPr>
        <w:tabs>
          <w:tab w:val="left" w:pos="360"/>
        </w:tabs>
        <w:spacing w:before="0" w:line="240" w:lineRule="auto"/>
        <w:ind w:hanging="720"/>
        <w:rPr>
          <w:rFonts w:cs="Calibri"/>
          <w:u w:val="single"/>
        </w:rPr>
      </w:pPr>
      <w:r w:rsidRPr="009574C5">
        <w:rPr>
          <w:rFonts w:cs="Calibri"/>
        </w:rPr>
        <w:t>Email</w:t>
      </w:r>
      <w:r>
        <w:rPr>
          <w:rFonts w:cs="Calibri"/>
        </w:rPr>
        <w:t xml:space="preserve"> </w:t>
      </w:r>
      <w:r w:rsidR="00A41763">
        <w:rPr>
          <w:rFonts w:cs="Calibri"/>
        </w:rPr>
        <w:t>Michael Beer</w:t>
      </w:r>
      <w:r w:rsidR="00CE6020">
        <w:rPr>
          <w:rFonts w:cs="Calibri"/>
        </w:rPr>
        <w:t xml:space="preserve"> </w:t>
      </w:r>
      <w:r w:rsidRPr="009574C5">
        <w:rPr>
          <w:rFonts w:cs="Calibri"/>
        </w:rPr>
        <w:t>to propose the anticipated Work Order (copy Kelly Arneson).  Email must contain:</w:t>
      </w:r>
    </w:p>
    <w:p w14:paraId="0C5465DA" w14:textId="023AEE61" w:rsidR="009574C5" w:rsidRPr="009574C5" w:rsidRDefault="009574C5" w:rsidP="00FA5998">
      <w:pPr>
        <w:widowControl w:val="0"/>
        <w:numPr>
          <w:ilvl w:val="1"/>
          <w:numId w:val="35"/>
        </w:numPr>
        <w:tabs>
          <w:tab w:val="clear" w:pos="1440"/>
          <w:tab w:val="left" w:pos="360"/>
        </w:tabs>
        <w:spacing w:before="0" w:line="240" w:lineRule="auto"/>
        <w:ind w:left="720"/>
        <w:rPr>
          <w:rFonts w:cs="Calibri"/>
          <w:u w:val="single"/>
        </w:rPr>
      </w:pPr>
      <w:r w:rsidRPr="009574C5">
        <w:rPr>
          <w:rFonts w:cs="Calibri"/>
        </w:rPr>
        <w:t>GEC Pre-Letting Selection Form</w:t>
      </w:r>
      <w:r w:rsidR="00CA0F2A">
        <w:rPr>
          <w:rFonts w:cs="Calibri"/>
        </w:rPr>
        <w:t xml:space="preserve"> (can be</w:t>
      </w:r>
      <w:r w:rsidRPr="009574C5">
        <w:rPr>
          <w:rFonts w:cs="Calibri"/>
        </w:rPr>
        <w:t xml:space="preserve"> found </w:t>
      </w:r>
      <w:r w:rsidR="00CA0F2A">
        <w:rPr>
          <w:rFonts w:cs="Calibri"/>
        </w:rPr>
        <w:t>o</w:t>
      </w:r>
      <w:r w:rsidR="00CA0F2A">
        <w:t xml:space="preserve">n the Consultant Services website under the </w:t>
      </w:r>
      <w:hyperlink r:id="rId16" w:history="1">
        <w:r w:rsidR="00CA0F2A" w:rsidRPr="00F86D9A">
          <w:rPr>
            <w:rStyle w:val="Hyperlink"/>
          </w:rPr>
          <w:t>Contract Documents</w:t>
        </w:r>
      </w:hyperlink>
      <w:r w:rsidR="00CA0F2A">
        <w:t xml:space="preserve"> tab</w:t>
      </w:r>
      <w:r w:rsidR="00CA0F2A">
        <w:rPr>
          <w:rFonts w:cs="Calibri"/>
        </w:rPr>
        <w:t xml:space="preserve">). </w:t>
      </w:r>
    </w:p>
    <w:p w14:paraId="1CD4179E" w14:textId="77777777" w:rsidR="009574C5" w:rsidRPr="009574C5" w:rsidRDefault="009574C5" w:rsidP="00FA5998">
      <w:pPr>
        <w:widowControl w:val="0"/>
        <w:numPr>
          <w:ilvl w:val="1"/>
          <w:numId w:val="35"/>
        </w:numPr>
        <w:tabs>
          <w:tab w:val="clear" w:pos="1440"/>
          <w:tab w:val="left" w:pos="360"/>
        </w:tabs>
        <w:spacing w:before="0" w:line="240" w:lineRule="auto"/>
        <w:ind w:left="720"/>
        <w:rPr>
          <w:rFonts w:cs="Calibri"/>
        </w:rPr>
      </w:pPr>
      <w:r w:rsidRPr="009574C5">
        <w:rPr>
          <w:rFonts w:cs="Calibri"/>
        </w:rPr>
        <w:t>Draft scope of work (if available)</w:t>
      </w:r>
      <w:r w:rsidR="001E5142">
        <w:rPr>
          <w:rFonts w:cs="Calibri"/>
        </w:rPr>
        <w:t>.</w:t>
      </w:r>
    </w:p>
    <w:p w14:paraId="0F9ABD73" w14:textId="6B8ED61E" w:rsidR="009574C5" w:rsidRPr="009574C5" w:rsidRDefault="00A41763" w:rsidP="00CE602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ind w:left="360"/>
        <w:rPr>
          <w:rFonts w:cs="Calibri"/>
          <w:b/>
          <w:i/>
        </w:rPr>
      </w:pPr>
      <w:r>
        <w:rPr>
          <w:rFonts w:cs="Calibri"/>
          <w:b/>
          <w:i/>
        </w:rPr>
        <w:t>Michael Beer</w:t>
      </w:r>
      <w:r w:rsidR="009574C5" w:rsidRPr="009574C5">
        <w:rPr>
          <w:rFonts w:cs="Calibri"/>
          <w:b/>
          <w:i/>
        </w:rPr>
        <w:t xml:space="preserve"> and/or Kelly Arneson will email you the reviewed GEC Pre-Letting Selection Form with team recommendations.</w:t>
      </w:r>
    </w:p>
    <w:p w14:paraId="3E62AF55" w14:textId="1AEDAC4D" w:rsidR="009574C5" w:rsidRDefault="009574C5" w:rsidP="00FA5998">
      <w:pPr>
        <w:widowControl w:val="0"/>
        <w:numPr>
          <w:ilvl w:val="1"/>
          <w:numId w:val="35"/>
        </w:numPr>
        <w:tabs>
          <w:tab w:val="clear" w:pos="1440"/>
          <w:tab w:val="left" w:pos="360"/>
        </w:tabs>
        <w:spacing w:before="0" w:line="240" w:lineRule="auto"/>
        <w:ind w:left="720"/>
        <w:rPr>
          <w:rFonts w:cs="Calibri"/>
        </w:rPr>
      </w:pPr>
      <w:r w:rsidRPr="009574C5">
        <w:rPr>
          <w:rFonts w:cs="Calibri"/>
        </w:rPr>
        <w:t>Email the final team selection back to</w:t>
      </w:r>
      <w:r>
        <w:rPr>
          <w:rFonts w:cs="Calibri"/>
        </w:rPr>
        <w:t xml:space="preserve"> </w:t>
      </w:r>
      <w:r w:rsidR="00A41763">
        <w:rPr>
          <w:rFonts w:cs="Calibri"/>
        </w:rPr>
        <w:t>Michael Beer</w:t>
      </w:r>
      <w:r w:rsidRPr="009574C5">
        <w:rPr>
          <w:rFonts w:cs="Calibri"/>
        </w:rPr>
        <w:t xml:space="preserve"> and Kelly Arneson along with anticipated sub-consultants.  Kelly Arneson will email a Work Order Contract Number if approved. </w:t>
      </w:r>
    </w:p>
    <w:p w14:paraId="6AED1F73" w14:textId="77777777" w:rsidR="009574C5" w:rsidRPr="009574C5" w:rsidRDefault="009574C5" w:rsidP="00FA5998">
      <w:pPr>
        <w:widowControl w:val="0"/>
        <w:tabs>
          <w:tab w:val="left" w:pos="360"/>
        </w:tabs>
        <w:spacing w:before="0" w:line="240" w:lineRule="auto"/>
        <w:ind w:left="720"/>
        <w:rPr>
          <w:rFonts w:cs="Calibri"/>
        </w:rPr>
      </w:pPr>
    </w:p>
    <w:p w14:paraId="25DC7B3C" w14:textId="77777777" w:rsidR="009574C5" w:rsidRPr="00CA0F2A" w:rsidRDefault="009574C5" w:rsidP="00FA5998">
      <w:pPr>
        <w:widowControl w:val="0"/>
        <w:numPr>
          <w:ilvl w:val="0"/>
          <w:numId w:val="35"/>
        </w:numPr>
        <w:tabs>
          <w:tab w:val="clear" w:pos="720"/>
        </w:tabs>
        <w:spacing w:before="0" w:line="240" w:lineRule="auto"/>
        <w:ind w:left="360"/>
        <w:rPr>
          <w:rFonts w:cs="Calibri"/>
          <w:u w:val="single"/>
        </w:rPr>
      </w:pPr>
      <w:r w:rsidRPr="009574C5">
        <w:rPr>
          <w:rFonts w:cs="Calibri"/>
        </w:rPr>
        <w:t>If TTAA applies, complete in-house estimate Privatization Form and email to Kelly Arneson.  If you need assistance with the in-house estimating form, contact Lynn Poirier.  Follow the TTAA process and guidance</w:t>
      </w:r>
      <w:r w:rsidR="000A7517">
        <w:rPr>
          <w:rFonts w:cs="Calibri"/>
        </w:rPr>
        <w:t xml:space="preserve"> at </w:t>
      </w:r>
      <w:hyperlink r:id="rId17" w:history="1">
        <w:r w:rsidR="000A7517" w:rsidRPr="00AC7C68">
          <w:rPr>
            <w:rStyle w:val="Hyperlink"/>
            <w:b/>
          </w:rPr>
          <w:t>Consultant Services Internal Resources</w:t>
        </w:r>
      </w:hyperlink>
      <w:r w:rsidR="000A7517">
        <w:t>.</w:t>
      </w:r>
      <w:r w:rsidR="000A7517" w:rsidRPr="00AC7C68">
        <w:t xml:space="preserve"> </w:t>
      </w:r>
    </w:p>
    <w:p w14:paraId="16707B66" w14:textId="77777777" w:rsidR="00CA0F2A" w:rsidRPr="009574C5" w:rsidRDefault="00CA0F2A" w:rsidP="00CA0F2A">
      <w:pPr>
        <w:widowControl w:val="0"/>
        <w:spacing w:before="0" w:line="240" w:lineRule="auto"/>
        <w:ind w:left="360"/>
        <w:rPr>
          <w:rFonts w:cs="Calibri"/>
          <w:u w:val="single"/>
        </w:rPr>
      </w:pPr>
    </w:p>
    <w:p w14:paraId="743AC048" w14:textId="77777777" w:rsidR="009574C5" w:rsidRDefault="009574C5" w:rsidP="00FA5998">
      <w:pPr>
        <w:widowControl w:val="0"/>
        <w:numPr>
          <w:ilvl w:val="0"/>
          <w:numId w:val="35"/>
        </w:numPr>
        <w:tabs>
          <w:tab w:val="clear" w:pos="720"/>
        </w:tabs>
        <w:spacing w:before="0" w:line="240" w:lineRule="auto"/>
        <w:ind w:left="360"/>
        <w:rPr>
          <w:rFonts w:cs="Calibri"/>
        </w:rPr>
      </w:pPr>
      <w:r w:rsidRPr="009574C5">
        <w:rPr>
          <w:rFonts w:cs="Calibri"/>
        </w:rPr>
        <w:t>Conduct negotiations with the assigned GEC consultant and finalize the scope of work, including the tasks, schedule, deliverables/due dates, and team.</w:t>
      </w:r>
    </w:p>
    <w:p w14:paraId="0CEF8E42" w14:textId="77777777" w:rsidR="00CA0F2A" w:rsidRPr="009574C5" w:rsidRDefault="00CA0F2A" w:rsidP="00CA0F2A">
      <w:pPr>
        <w:widowControl w:val="0"/>
        <w:spacing w:before="0" w:line="240" w:lineRule="auto"/>
        <w:rPr>
          <w:rFonts w:cs="Calibri"/>
        </w:rPr>
      </w:pPr>
    </w:p>
    <w:p w14:paraId="5D313671" w14:textId="250697C2" w:rsidR="009574C5" w:rsidRDefault="009574C5" w:rsidP="00FA5998">
      <w:pPr>
        <w:widowControl w:val="0"/>
        <w:numPr>
          <w:ilvl w:val="0"/>
          <w:numId w:val="35"/>
        </w:numPr>
        <w:tabs>
          <w:tab w:val="clear" w:pos="720"/>
        </w:tabs>
        <w:spacing w:before="0" w:line="240" w:lineRule="auto"/>
        <w:ind w:left="360"/>
        <w:rPr>
          <w:rFonts w:cs="Calibri"/>
        </w:rPr>
      </w:pPr>
      <w:r w:rsidRPr="009574C5">
        <w:rPr>
          <w:rFonts w:cs="Calibri"/>
        </w:rPr>
        <w:t xml:space="preserve">Complete the Fixed Fee Rate Worksheet and then email it to </w:t>
      </w:r>
      <w:r w:rsidR="00A41763">
        <w:rPr>
          <w:rFonts w:cs="Calibri"/>
        </w:rPr>
        <w:t>Michael Beer</w:t>
      </w:r>
      <w:r w:rsidRPr="009574C5">
        <w:rPr>
          <w:rFonts w:cs="Calibri"/>
        </w:rPr>
        <w:t xml:space="preserve"> and Kelly Arneson for approval.  They will email you back with the approval.  Use only the </w:t>
      </w:r>
      <w:r w:rsidRPr="009574C5">
        <w:rPr>
          <w:rFonts w:cs="Calibri"/>
          <w:u w:val="single"/>
        </w:rPr>
        <w:t>approved</w:t>
      </w:r>
      <w:r w:rsidRPr="009574C5">
        <w:rPr>
          <w:rFonts w:cs="Calibri"/>
        </w:rPr>
        <w:t xml:space="preserve"> Fixed Fee Rate when negotiating cost with the consultant. </w:t>
      </w:r>
    </w:p>
    <w:p w14:paraId="44027D4B" w14:textId="77777777" w:rsidR="00CA0F2A" w:rsidRPr="009574C5" w:rsidRDefault="00CA0F2A" w:rsidP="00CA0F2A">
      <w:pPr>
        <w:widowControl w:val="0"/>
        <w:spacing w:before="0" w:line="240" w:lineRule="auto"/>
        <w:rPr>
          <w:rFonts w:cs="Calibri"/>
        </w:rPr>
      </w:pPr>
    </w:p>
    <w:p w14:paraId="2E8D83D5" w14:textId="77777777" w:rsidR="009574C5" w:rsidRDefault="009574C5" w:rsidP="00FA5998">
      <w:pPr>
        <w:widowControl w:val="0"/>
        <w:numPr>
          <w:ilvl w:val="0"/>
          <w:numId w:val="35"/>
        </w:numPr>
        <w:tabs>
          <w:tab w:val="clear" w:pos="720"/>
        </w:tabs>
        <w:spacing w:before="0" w:line="240" w:lineRule="auto"/>
        <w:ind w:left="360"/>
        <w:rPr>
          <w:rFonts w:cs="Calibri"/>
        </w:rPr>
      </w:pPr>
      <w:r w:rsidRPr="009574C5">
        <w:rPr>
          <w:rFonts w:cs="Calibri"/>
        </w:rPr>
        <w:t xml:space="preserve">After approval of the fixed fee, negotiate and finalize the budget (note, you can contact Kelly Arneson for Pre-Award Audit/company information).  The vast majority of the Work Orders will be Cost Plus Fixed Fee format so be sure the consultant provides a complete breakdown for labor (i.e. personnel/hours/rates, per </w:t>
      </w:r>
      <w:r w:rsidRPr="009574C5">
        <w:rPr>
          <w:rFonts w:cs="Calibri"/>
        </w:rPr>
        <w:lastRenderedPageBreak/>
        <w:t>task), with the Overhead Rate and Fixed Fee applied to the total labor costs, expenses (units/rate, and be sure to follow current travel regulations for travel expenses) and subcontractor costs, (with labor and expenses broken down similarly to the Contractor’s) – note, while a broken down subcontractor budget is always welcomed, it is required if the subcontractor’s costs exceed $10,000.</w:t>
      </w:r>
    </w:p>
    <w:p w14:paraId="06075734" w14:textId="77777777" w:rsidR="00CA0F2A" w:rsidRPr="009574C5" w:rsidRDefault="00CA0F2A" w:rsidP="00CA0F2A">
      <w:pPr>
        <w:widowControl w:val="0"/>
        <w:spacing w:before="0" w:line="240" w:lineRule="auto"/>
        <w:rPr>
          <w:rFonts w:cs="Calibri"/>
        </w:rPr>
      </w:pPr>
    </w:p>
    <w:p w14:paraId="62A90AAE" w14:textId="08546328" w:rsidR="00115255" w:rsidRPr="00DA79DD" w:rsidRDefault="00115255" w:rsidP="00FA5998">
      <w:pPr>
        <w:widowControl w:val="0"/>
        <w:numPr>
          <w:ilvl w:val="0"/>
          <w:numId w:val="35"/>
        </w:numPr>
        <w:tabs>
          <w:tab w:val="clear" w:pos="720"/>
        </w:tabs>
        <w:spacing w:before="0" w:line="240" w:lineRule="auto"/>
        <w:ind w:left="360"/>
      </w:pPr>
      <w:r w:rsidRPr="00115255">
        <w:rPr>
          <w:rFonts w:cs="Calibri"/>
        </w:rPr>
        <w:t>Complete</w:t>
      </w:r>
      <w:r>
        <w:t xml:space="preserve"> and submit the Requisition Package.  The Requisition Form can be found on the Consultant Services website under the </w:t>
      </w:r>
      <w:hyperlink r:id="rId18" w:history="1">
        <w:r w:rsidRPr="00F86D9A">
          <w:rPr>
            <w:rStyle w:val="Hyperlink"/>
          </w:rPr>
          <w:t>Contract Documents</w:t>
        </w:r>
      </w:hyperlink>
      <w:r>
        <w:t xml:space="preserve"> tab.  Complete the document called </w:t>
      </w:r>
      <w:r w:rsidRPr="00F86D9A">
        <w:rPr>
          <w:b/>
        </w:rPr>
        <w:t>Requisition Form – GEC Work Order</w:t>
      </w:r>
      <w:r>
        <w:t xml:space="preserve">.  Once complete, submit the Requisition Form and the final scope and budget to </w:t>
      </w:r>
      <w:r w:rsidR="00066C1B" w:rsidRPr="00066C1B">
        <w:rPr>
          <w:highlight w:val="yellow"/>
        </w:rPr>
        <w:t>Kelly Arneson</w:t>
      </w:r>
      <w:r>
        <w:t xml:space="preserve"> in Consultant Services (cc Kelly Arneson).  </w:t>
      </w:r>
    </w:p>
    <w:p w14:paraId="0A0B962C" w14:textId="77777777" w:rsidR="009574C5" w:rsidRPr="00115255" w:rsidRDefault="009574C5" w:rsidP="00CE6020">
      <w:pPr>
        <w:widowControl w:val="0"/>
        <w:pBdr>
          <w:top w:val="single" w:sz="4" w:space="1" w:color="auto"/>
          <w:left w:val="single" w:sz="4" w:space="4" w:color="auto"/>
          <w:bottom w:val="single" w:sz="4" w:space="1" w:color="auto"/>
          <w:right w:val="single" w:sz="4" w:space="4" w:color="auto"/>
        </w:pBdr>
        <w:spacing w:after="120" w:line="240" w:lineRule="auto"/>
        <w:ind w:left="360"/>
        <w:rPr>
          <w:rFonts w:cs="Calibri"/>
          <w:b/>
          <w:i/>
        </w:rPr>
      </w:pPr>
      <w:r w:rsidRPr="00115255">
        <w:rPr>
          <w:rFonts w:cs="Calibri"/>
          <w:b/>
          <w:i/>
        </w:rPr>
        <w:t xml:space="preserve">Kelly Arneson will complete and execute the Certification Form and Work Order Contract.  Kelly will also send final </w:t>
      </w:r>
      <w:r w:rsidRPr="00115255">
        <w:rPr>
          <w:b/>
          <w:i/>
        </w:rPr>
        <w:t>consultant</w:t>
      </w:r>
      <w:r w:rsidRPr="00115255">
        <w:rPr>
          <w:rFonts w:cs="Calibri"/>
          <w:b/>
          <w:i/>
        </w:rPr>
        <w:t xml:space="preserve"> budget to finance to process the B estimate for TTAA applicable contracts.  </w:t>
      </w:r>
    </w:p>
    <w:sectPr w:rsidR="009574C5" w:rsidRPr="00115255" w:rsidSect="00D86B7B">
      <w:type w:val="continuous"/>
      <w:pgSz w:w="12240" w:h="15840" w:code="1"/>
      <w:pgMar w:top="144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182B" w14:textId="77777777" w:rsidR="00DF6BCA" w:rsidRDefault="00DF6BCA">
      <w:r>
        <w:separator/>
      </w:r>
    </w:p>
  </w:endnote>
  <w:endnote w:type="continuationSeparator" w:id="0">
    <w:p w14:paraId="1592C731" w14:textId="77777777" w:rsidR="00DF6BCA" w:rsidRDefault="00DF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45F" w14:textId="77777777" w:rsidR="001E5573" w:rsidRPr="00BE3444" w:rsidRDefault="00AC7C68" w:rsidP="00BE3444">
    <w:pPr>
      <w:pBdr>
        <w:top w:val="single" w:sz="4" w:space="10" w:color="BFBFBF"/>
      </w:pBdr>
      <w:tabs>
        <w:tab w:val="right" w:pos="10080"/>
      </w:tabs>
      <w:rPr>
        <w:sz w:val="18"/>
        <w:szCs w:val="18"/>
      </w:rPr>
    </w:pPr>
    <w:r>
      <w:rPr>
        <w:sz w:val="18"/>
        <w:szCs w:val="18"/>
      </w:rPr>
      <w:t>For more information contact: Kelly Arneson, 651-366-4774</w:t>
    </w:r>
    <w:r>
      <w:rPr>
        <w:sz w:val="18"/>
        <w:szCs w:val="18"/>
      </w:rPr>
      <w:br/>
    </w:r>
    <w:hyperlink r:id="rId1" w:history="1">
      <w:r w:rsidRPr="007A699E">
        <w:rPr>
          <w:rStyle w:val="Hyperlink"/>
          <w:sz w:val="18"/>
          <w:szCs w:val="18"/>
        </w:rPr>
        <w:t>kelly.arneson@state.mn.us</w:t>
      </w:r>
    </w:hyperlink>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2612DD">
      <w:rPr>
        <w:noProof/>
        <w:sz w:val="18"/>
        <w:szCs w:val="18"/>
      </w:rPr>
      <w:t>2</w:t>
    </w:r>
    <w:r w:rsidR="001E5573" w:rsidRPr="00BE344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3192" w14:textId="77777777" w:rsidR="001E5573" w:rsidRPr="00BE3444" w:rsidRDefault="00CD2455" w:rsidP="00BE3444">
    <w:pPr>
      <w:pBdr>
        <w:top w:val="single" w:sz="4" w:space="10" w:color="BFBFBF"/>
      </w:pBdr>
      <w:tabs>
        <w:tab w:val="right" w:pos="10080"/>
      </w:tabs>
      <w:rPr>
        <w:sz w:val="18"/>
        <w:szCs w:val="18"/>
      </w:rPr>
    </w:pPr>
    <w:r>
      <w:rPr>
        <w:sz w:val="18"/>
        <w:szCs w:val="18"/>
      </w:rPr>
      <w:t>F</w:t>
    </w:r>
    <w:r w:rsidR="007258D1">
      <w:rPr>
        <w:sz w:val="18"/>
        <w:szCs w:val="18"/>
      </w:rPr>
      <w:t xml:space="preserve">or more information </w:t>
    </w:r>
    <w:r>
      <w:rPr>
        <w:sz w:val="18"/>
        <w:szCs w:val="18"/>
      </w:rPr>
      <w:t xml:space="preserve">contact: </w:t>
    </w:r>
    <w:r w:rsidR="00AC7C68">
      <w:rPr>
        <w:sz w:val="18"/>
        <w:szCs w:val="18"/>
      </w:rPr>
      <w:t>Kelly Arneson</w:t>
    </w:r>
    <w:r>
      <w:rPr>
        <w:sz w:val="18"/>
        <w:szCs w:val="18"/>
      </w:rPr>
      <w:t>, 651-366-</w:t>
    </w:r>
    <w:r w:rsidR="00AC7C68">
      <w:rPr>
        <w:sz w:val="18"/>
        <w:szCs w:val="18"/>
      </w:rPr>
      <w:t>4774</w:t>
    </w:r>
    <w:r>
      <w:rPr>
        <w:sz w:val="18"/>
        <w:szCs w:val="18"/>
      </w:rPr>
      <w:br/>
    </w:r>
    <w:hyperlink r:id="rId1" w:history="1">
      <w:r w:rsidR="00AC7C68" w:rsidRPr="007A699E">
        <w:rPr>
          <w:rStyle w:val="Hyperlink"/>
          <w:sz w:val="18"/>
          <w:szCs w:val="18"/>
        </w:rPr>
        <w:t>kelly.arneson@state.mn.us</w:t>
      </w:r>
    </w:hyperlink>
    <w:r w:rsidR="00AC7C68">
      <w:rPr>
        <w:sz w:val="18"/>
        <w:szCs w:val="18"/>
      </w:rPr>
      <w:t xml:space="preserve"> </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2612DD">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0604" w14:textId="77777777" w:rsidR="00990E51" w:rsidRDefault="00990E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F129" w14:textId="77777777"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F21E" w14:textId="77777777" w:rsidR="00DF6BCA" w:rsidRDefault="00DF6BCA">
      <w:r>
        <w:separator/>
      </w:r>
    </w:p>
  </w:footnote>
  <w:footnote w:type="continuationSeparator" w:id="0">
    <w:p w14:paraId="0CE5C428" w14:textId="77777777" w:rsidR="00DF6BCA" w:rsidRDefault="00DF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2464" w14:textId="77777777" w:rsidR="00990E51" w:rsidRDefault="00990E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6FC5" w14:textId="77777777" w:rsidR="00990E51" w:rsidRDefault="00990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2765" w14:textId="77777777" w:rsidR="009F6B2C" w:rsidRPr="00BE3444" w:rsidRDefault="009F6B2C">
    <w:pPr>
      <w:rPr>
        <w:color w:val="00386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8CCB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5pt;height:25.3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D674E6"/>
    <w:multiLevelType w:val="hybridMultilevel"/>
    <w:tmpl w:val="CB5ABAF6"/>
    <w:lvl w:ilvl="0" w:tplc="33E8BF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1A7A"/>
    <w:multiLevelType w:val="hybridMultilevel"/>
    <w:tmpl w:val="CFDC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D7E03"/>
    <w:multiLevelType w:val="hybridMultilevel"/>
    <w:tmpl w:val="2D6E2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E7ECD"/>
    <w:multiLevelType w:val="hybridMultilevel"/>
    <w:tmpl w:val="395AC096"/>
    <w:lvl w:ilvl="0" w:tplc="3C0E72B4">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97DCF"/>
    <w:multiLevelType w:val="hybridMultilevel"/>
    <w:tmpl w:val="755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37107"/>
    <w:multiLevelType w:val="hybridMultilevel"/>
    <w:tmpl w:val="F2CC0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E126CE"/>
    <w:multiLevelType w:val="hybridMultilevel"/>
    <w:tmpl w:val="E09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B1609"/>
    <w:multiLevelType w:val="hybridMultilevel"/>
    <w:tmpl w:val="4B9E3EEC"/>
    <w:lvl w:ilvl="0" w:tplc="33E8BF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7"/>
  </w:num>
  <w:num w:numId="6">
    <w:abstractNumId w:val="4"/>
  </w:num>
  <w:num w:numId="7">
    <w:abstractNumId w:val="15"/>
  </w:num>
  <w:num w:numId="8">
    <w:abstractNumId w:val="11"/>
  </w:num>
  <w:num w:numId="9">
    <w:abstractNumId w:val="14"/>
  </w:num>
  <w:num w:numId="10">
    <w:abstractNumId w:val="2"/>
  </w:num>
  <w:num w:numId="11">
    <w:abstractNumId w:val="2"/>
  </w:num>
  <w:num w:numId="12">
    <w:abstractNumId w:val="24"/>
  </w:num>
  <w:num w:numId="13">
    <w:abstractNumId w:val="26"/>
  </w:num>
  <w:num w:numId="14">
    <w:abstractNumId w:val="16"/>
  </w:num>
  <w:num w:numId="15">
    <w:abstractNumId w:val="2"/>
  </w:num>
  <w:num w:numId="16">
    <w:abstractNumId w:val="26"/>
  </w:num>
  <w:num w:numId="17">
    <w:abstractNumId w:val="16"/>
  </w:num>
  <w:num w:numId="18">
    <w:abstractNumId w:val="13"/>
  </w:num>
  <w:num w:numId="19">
    <w:abstractNumId w:val="5"/>
  </w:num>
  <w:num w:numId="20">
    <w:abstractNumId w:val="1"/>
  </w:num>
  <w:num w:numId="21">
    <w:abstractNumId w:val="0"/>
  </w:num>
  <w:num w:numId="22">
    <w:abstractNumId w:val="12"/>
  </w:num>
  <w:num w:numId="23">
    <w:abstractNumId w:val="18"/>
  </w:num>
  <w:num w:numId="24">
    <w:abstractNumId w:val="21"/>
  </w:num>
  <w:num w:numId="25">
    <w:abstractNumId w:val="21"/>
  </w:num>
  <w:num w:numId="26">
    <w:abstractNumId w:val="19"/>
  </w:num>
  <w:num w:numId="27">
    <w:abstractNumId w:val="27"/>
  </w:num>
  <w:num w:numId="28">
    <w:abstractNumId w:val="7"/>
  </w:num>
  <w:num w:numId="29">
    <w:abstractNumId w:val="21"/>
  </w:num>
  <w:num w:numId="30">
    <w:abstractNumId w:val="8"/>
  </w:num>
  <w:num w:numId="31">
    <w:abstractNumId w:val="21"/>
  </w:num>
  <w:num w:numId="32">
    <w:abstractNumId w:val="21"/>
  </w:num>
  <w:num w:numId="33">
    <w:abstractNumId w:val="9"/>
  </w:num>
  <w:num w:numId="34">
    <w:abstractNumId w:val="25"/>
  </w:num>
  <w:num w:numId="35">
    <w:abstractNumId w:val="10"/>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CA"/>
    <w:rsid w:val="00001140"/>
    <w:rsid w:val="00002DEC"/>
    <w:rsid w:val="000065AC"/>
    <w:rsid w:val="00006A0A"/>
    <w:rsid w:val="00050BC7"/>
    <w:rsid w:val="0005591C"/>
    <w:rsid w:val="00064B90"/>
    <w:rsid w:val="00066C1B"/>
    <w:rsid w:val="0007374A"/>
    <w:rsid w:val="00080404"/>
    <w:rsid w:val="00084742"/>
    <w:rsid w:val="000A7517"/>
    <w:rsid w:val="000B0A75"/>
    <w:rsid w:val="000B2E68"/>
    <w:rsid w:val="000C2414"/>
    <w:rsid w:val="000C3708"/>
    <w:rsid w:val="000C3761"/>
    <w:rsid w:val="000C7373"/>
    <w:rsid w:val="000E313B"/>
    <w:rsid w:val="000E3E9D"/>
    <w:rsid w:val="000F4BB1"/>
    <w:rsid w:val="00115255"/>
    <w:rsid w:val="00135082"/>
    <w:rsid w:val="00135DC7"/>
    <w:rsid w:val="00147ED1"/>
    <w:rsid w:val="001500D6"/>
    <w:rsid w:val="00157C41"/>
    <w:rsid w:val="001620D6"/>
    <w:rsid w:val="001661D9"/>
    <w:rsid w:val="001708EC"/>
    <w:rsid w:val="001925A8"/>
    <w:rsid w:val="0019673D"/>
    <w:rsid w:val="00197518"/>
    <w:rsid w:val="001A46BB"/>
    <w:rsid w:val="001B7D48"/>
    <w:rsid w:val="001C55E0"/>
    <w:rsid w:val="001E5142"/>
    <w:rsid w:val="001E5573"/>
    <w:rsid w:val="001E5ECF"/>
    <w:rsid w:val="00211CA3"/>
    <w:rsid w:val="00222A49"/>
    <w:rsid w:val="0022552E"/>
    <w:rsid w:val="00227E68"/>
    <w:rsid w:val="00232F7C"/>
    <w:rsid w:val="00236443"/>
    <w:rsid w:val="00261247"/>
    <w:rsid w:val="002612DD"/>
    <w:rsid w:val="00264652"/>
    <w:rsid w:val="0026674F"/>
    <w:rsid w:val="00282084"/>
    <w:rsid w:val="00291052"/>
    <w:rsid w:val="002B5E79"/>
    <w:rsid w:val="002C0859"/>
    <w:rsid w:val="002F1947"/>
    <w:rsid w:val="00306D94"/>
    <w:rsid w:val="003125DF"/>
    <w:rsid w:val="00330A0B"/>
    <w:rsid w:val="00335736"/>
    <w:rsid w:val="003563D2"/>
    <w:rsid w:val="00376FA5"/>
    <w:rsid w:val="003A1479"/>
    <w:rsid w:val="003A1813"/>
    <w:rsid w:val="003B7D82"/>
    <w:rsid w:val="003C4644"/>
    <w:rsid w:val="003C5BE3"/>
    <w:rsid w:val="004071C7"/>
    <w:rsid w:val="00413A7C"/>
    <w:rsid w:val="004141D1"/>
    <w:rsid w:val="004141DD"/>
    <w:rsid w:val="00461804"/>
    <w:rsid w:val="00466810"/>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A50AE"/>
    <w:rsid w:val="005B2DDF"/>
    <w:rsid w:val="005B4AE7"/>
    <w:rsid w:val="005B53B0"/>
    <w:rsid w:val="005C16D8"/>
    <w:rsid w:val="005D4207"/>
    <w:rsid w:val="005D45B3"/>
    <w:rsid w:val="005E44ED"/>
    <w:rsid w:val="005F6005"/>
    <w:rsid w:val="006064AB"/>
    <w:rsid w:val="00620F46"/>
    <w:rsid w:val="00622BB5"/>
    <w:rsid w:val="00655345"/>
    <w:rsid w:val="00672536"/>
    <w:rsid w:val="00681EDC"/>
    <w:rsid w:val="0068649F"/>
    <w:rsid w:val="00687189"/>
    <w:rsid w:val="00697CCC"/>
    <w:rsid w:val="006A481B"/>
    <w:rsid w:val="006B13B7"/>
    <w:rsid w:val="006B2942"/>
    <w:rsid w:val="006B3994"/>
    <w:rsid w:val="006C0E45"/>
    <w:rsid w:val="006C1029"/>
    <w:rsid w:val="006D0ECE"/>
    <w:rsid w:val="006D4829"/>
    <w:rsid w:val="006F2D5E"/>
    <w:rsid w:val="006F3B38"/>
    <w:rsid w:val="006F6745"/>
    <w:rsid w:val="007137A4"/>
    <w:rsid w:val="007258D1"/>
    <w:rsid w:val="0074778B"/>
    <w:rsid w:val="0077225E"/>
    <w:rsid w:val="00793F48"/>
    <w:rsid w:val="007B337D"/>
    <w:rsid w:val="007B35B2"/>
    <w:rsid w:val="007D1FFF"/>
    <w:rsid w:val="007D42A0"/>
    <w:rsid w:val="007E685C"/>
    <w:rsid w:val="007F5A9C"/>
    <w:rsid w:val="007F6108"/>
    <w:rsid w:val="007F7097"/>
    <w:rsid w:val="008067A6"/>
    <w:rsid w:val="008140CC"/>
    <w:rsid w:val="008251B3"/>
    <w:rsid w:val="00844F1D"/>
    <w:rsid w:val="0084749F"/>
    <w:rsid w:val="00864202"/>
    <w:rsid w:val="008A0D5A"/>
    <w:rsid w:val="008B5443"/>
    <w:rsid w:val="008C7EEB"/>
    <w:rsid w:val="008D0DEF"/>
    <w:rsid w:val="008D2256"/>
    <w:rsid w:val="008D5E3D"/>
    <w:rsid w:val="0090737A"/>
    <w:rsid w:val="00915ED2"/>
    <w:rsid w:val="00925466"/>
    <w:rsid w:val="009574C5"/>
    <w:rsid w:val="0096108C"/>
    <w:rsid w:val="00963BA0"/>
    <w:rsid w:val="00967764"/>
    <w:rsid w:val="009810EE"/>
    <w:rsid w:val="00984CC9"/>
    <w:rsid w:val="00990E51"/>
    <w:rsid w:val="0099233F"/>
    <w:rsid w:val="009B54A0"/>
    <w:rsid w:val="009C6405"/>
    <w:rsid w:val="009F6B2C"/>
    <w:rsid w:val="00A11F20"/>
    <w:rsid w:val="00A1415F"/>
    <w:rsid w:val="00A30799"/>
    <w:rsid w:val="00A41763"/>
    <w:rsid w:val="00A57FE8"/>
    <w:rsid w:val="00A64ECE"/>
    <w:rsid w:val="00A66185"/>
    <w:rsid w:val="00A71CAD"/>
    <w:rsid w:val="00A731A2"/>
    <w:rsid w:val="00A827B0"/>
    <w:rsid w:val="00A827C1"/>
    <w:rsid w:val="00A93F40"/>
    <w:rsid w:val="00A96F93"/>
    <w:rsid w:val="00AA79B2"/>
    <w:rsid w:val="00AC6EB8"/>
    <w:rsid w:val="00AC7C68"/>
    <w:rsid w:val="00AD39DA"/>
    <w:rsid w:val="00AE5772"/>
    <w:rsid w:val="00AF22AD"/>
    <w:rsid w:val="00AF5107"/>
    <w:rsid w:val="00B06264"/>
    <w:rsid w:val="00B07C8F"/>
    <w:rsid w:val="00B225BD"/>
    <w:rsid w:val="00B275D4"/>
    <w:rsid w:val="00B4321F"/>
    <w:rsid w:val="00B75051"/>
    <w:rsid w:val="00B77CC5"/>
    <w:rsid w:val="00B859DE"/>
    <w:rsid w:val="00B91EB1"/>
    <w:rsid w:val="00BB0FA1"/>
    <w:rsid w:val="00BD0E59"/>
    <w:rsid w:val="00BD3B63"/>
    <w:rsid w:val="00BE3444"/>
    <w:rsid w:val="00C12D2F"/>
    <w:rsid w:val="00C277A8"/>
    <w:rsid w:val="00C309AE"/>
    <w:rsid w:val="00C365CE"/>
    <w:rsid w:val="00C417EB"/>
    <w:rsid w:val="00C528AE"/>
    <w:rsid w:val="00CA0F2A"/>
    <w:rsid w:val="00CD2455"/>
    <w:rsid w:val="00CE45B0"/>
    <w:rsid w:val="00CE6020"/>
    <w:rsid w:val="00CF1393"/>
    <w:rsid w:val="00D0014D"/>
    <w:rsid w:val="00D22819"/>
    <w:rsid w:val="00D511F0"/>
    <w:rsid w:val="00D54EE5"/>
    <w:rsid w:val="00D61092"/>
    <w:rsid w:val="00D63F82"/>
    <w:rsid w:val="00D640FC"/>
    <w:rsid w:val="00D70F7D"/>
    <w:rsid w:val="00D86B7B"/>
    <w:rsid w:val="00D92929"/>
    <w:rsid w:val="00D93C2E"/>
    <w:rsid w:val="00D970A5"/>
    <w:rsid w:val="00DA79DD"/>
    <w:rsid w:val="00DB4967"/>
    <w:rsid w:val="00DB59DB"/>
    <w:rsid w:val="00DC22CF"/>
    <w:rsid w:val="00DD462B"/>
    <w:rsid w:val="00DE50CB"/>
    <w:rsid w:val="00DF6BCA"/>
    <w:rsid w:val="00E206AE"/>
    <w:rsid w:val="00E229C1"/>
    <w:rsid w:val="00E23397"/>
    <w:rsid w:val="00E32CD7"/>
    <w:rsid w:val="00E44EE1"/>
    <w:rsid w:val="00E5241D"/>
    <w:rsid w:val="00E5680C"/>
    <w:rsid w:val="00E61A16"/>
    <w:rsid w:val="00E76267"/>
    <w:rsid w:val="00EA535B"/>
    <w:rsid w:val="00EC579D"/>
    <w:rsid w:val="00ED5BDC"/>
    <w:rsid w:val="00ED7DAC"/>
    <w:rsid w:val="00F067A6"/>
    <w:rsid w:val="00F20B25"/>
    <w:rsid w:val="00F212F3"/>
    <w:rsid w:val="00F70C03"/>
    <w:rsid w:val="00F86D9A"/>
    <w:rsid w:val="00F9084A"/>
    <w:rsid w:val="00FA5998"/>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25"/>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customStyle="1" w:styleId="Default">
    <w:name w:val="Default"/>
    <w:rsid w:val="007258D1"/>
    <w:pPr>
      <w:autoSpaceDE w:val="0"/>
      <w:autoSpaceDN w:val="0"/>
      <w:adjustRightInd w:val="0"/>
      <w:spacing w:before="0" w:line="240" w:lineRule="auto"/>
    </w:pPr>
    <w:rPr>
      <w:rFonts w:ascii="Arial" w:hAnsi="Arial" w:cs="Arial"/>
      <w:color w:val="000000"/>
      <w:sz w:val="24"/>
      <w:szCs w:val="24"/>
      <w:lang w:bidi="ar-SA"/>
    </w:rPr>
  </w:style>
  <w:style w:type="paragraph" w:customStyle="1" w:styleId="Headline">
    <w:name w:val="Headline"/>
    <w:basedOn w:val="Heading1"/>
    <w:link w:val="HeadlineChar"/>
    <w:rsid w:val="009574C5"/>
    <w:pPr>
      <w:keepLines w:val="0"/>
      <w:tabs>
        <w:tab w:val="clear" w:pos="3345"/>
      </w:tabs>
      <w:spacing w:before="0" w:after="0" w:line="240" w:lineRule="auto"/>
    </w:pPr>
    <w:rPr>
      <w:rFonts w:ascii="Arial Black" w:hAnsi="Arial Black"/>
      <w:b w:val="0"/>
      <w:bCs/>
      <w:noProof/>
      <w:color w:val="auto"/>
      <w:kern w:val="32"/>
      <w:sz w:val="32"/>
      <w:szCs w:val="32"/>
      <w:lang w:bidi="ar-SA"/>
    </w:rPr>
  </w:style>
  <w:style w:type="character" w:customStyle="1" w:styleId="HeadlineChar">
    <w:name w:val="Headline Char"/>
    <w:link w:val="Headline"/>
    <w:rsid w:val="009574C5"/>
    <w:rPr>
      <w:rFonts w:ascii="Arial Black" w:hAnsi="Arial Black"/>
      <w:bCs/>
      <w:noProof/>
      <w:kern w:val="32"/>
      <w:sz w:val="32"/>
      <w:szCs w:val="32"/>
      <w:lang w:bidi="ar-SA"/>
    </w:rPr>
  </w:style>
  <w:style w:type="paragraph" w:styleId="ListParagraph">
    <w:name w:val="List Paragraph"/>
    <w:basedOn w:val="Normal"/>
    <w:uiPriority w:val="34"/>
    <w:qFormat/>
    <w:rsid w:val="009574C5"/>
    <w:pPr>
      <w:spacing w:before="0" w:line="240" w:lineRule="auto"/>
      <w:ind w:left="720"/>
      <w:contextualSpacing/>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dotapp7.dot.state.mn.us/eDIGS_guest/DMResultSet/UrlSearch?folderid=525083&amp;columns=docnumber,docname,abstract,last_edit_date&amp;columnheaders=Doc%20Number,Title,Description,Last%20Edi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ot.state.mn.us/consult/internalresources.html" TargetMode="External"/><Relationship Id="rId2" Type="http://schemas.openxmlformats.org/officeDocument/2006/relationships/numbering" Target="numbering.xml"/><Relationship Id="rId16" Type="http://schemas.openxmlformats.org/officeDocument/2006/relationships/hyperlink" Target="https://edocs-public.dot.state.mn.us/edocs_public/DMResultSet/download?docId=65888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kelly.arneson@state.mn.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elly.arneson@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1mel\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5D13-56B1-4748-AE14-A46A346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3</Pages>
  <Words>830</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2020-01-13T16:22:00Z</dcterms:created>
  <dcterms:modified xsi:type="dcterms:W3CDTF">2022-04-19T19:46:00Z</dcterms:modified>
  <cp:category>template</cp:category>
  <cp:contentStatus>active</cp:contentStatus>
</cp:coreProperties>
</file>