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AF" w:rsidRDefault="008C4038" w:rsidP="008C4038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8C4038">
        <w:rPr>
          <w:rFonts w:ascii="Times New Roman" w:hAnsi="Times New Roman" w:cs="Times New Roman"/>
          <w:sz w:val="20"/>
        </w:rPr>
        <w:t xml:space="preserve">Below are links to Illinois’ Geotechnical Manual, </w:t>
      </w:r>
      <w:r w:rsidR="00E15A63">
        <w:rPr>
          <w:rFonts w:ascii="Times New Roman" w:hAnsi="Times New Roman" w:cs="Times New Roman"/>
          <w:sz w:val="20"/>
        </w:rPr>
        <w:t xml:space="preserve">Subgrade Stability Manual, </w:t>
      </w:r>
      <w:r w:rsidRPr="008C4038">
        <w:rPr>
          <w:rFonts w:ascii="Times New Roman" w:hAnsi="Times New Roman" w:cs="Times New Roman"/>
          <w:sz w:val="20"/>
        </w:rPr>
        <w:t xml:space="preserve">Standard Specifications and Special Provisions that apply to any geotechnical construction. </w:t>
      </w:r>
      <w:r w:rsidR="006B1FAF">
        <w:rPr>
          <w:rFonts w:ascii="Times New Roman" w:hAnsi="Times New Roman" w:cs="Times New Roman"/>
          <w:sz w:val="20"/>
        </w:rPr>
        <w:t xml:space="preserve">Illinois does not currently have any supplemental specifications because our standard book was just updated in April 2016 but the reference is below. </w:t>
      </w:r>
      <w:r w:rsidR="00AA6BAF">
        <w:rPr>
          <w:rFonts w:ascii="Times New Roman" w:hAnsi="Times New Roman" w:cs="Times New Roman"/>
          <w:sz w:val="20"/>
        </w:rPr>
        <w:t>Our Bureau of Materials and Physical Research</w:t>
      </w:r>
      <w:r w:rsidR="00B857E5">
        <w:rPr>
          <w:rFonts w:ascii="Times New Roman" w:hAnsi="Times New Roman" w:cs="Times New Roman"/>
          <w:sz w:val="20"/>
        </w:rPr>
        <w:t xml:space="preserve"> (BMPR)</w:t>
      </w:r>
      <w:r w:rsidR="00AA6BAF">
        <w:rPr>
          <w:rFonts w:ascii="Times New Roman" w:hAnsi="Times New Roman" w:cs="Times New Roman"/>
          <w:sz w:val="20"/>
        </w:rPr>
        <w:t xml:space="preserve"> also develop Policy Memorandums that guide our inspectors and producers in the nuances of inspection of specific materials and also contain our QC/QA requirements.  The link to those is also below.</w:t>
      </w:r>
    </w:p>
    <w:p w:rsidR="00AA6BAF" w:rsidRDefault="00AA6BAF" w:rsidP="008C4038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:rsidR="008C4038" w:rsidRDefault="008C4038" w:rsidP="008C4038">
      <w:pPr>
        <w:spacing w:before="24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Geotechnical Manual:</w:t>
      </w:r>
      <w:r w:rsidR="00CE1391">
        <w:rPr>
          <w:rFonts w:ascii="Times New Roman" w:hAnsi="Times New Roman" w:cs="Times New Roman"/>
          <w:sz w:val="20"/>
        </w:rPr>
        <w:t xml:space="preserve"> </w:t>
      </w:r>
      <w:hyperlink r:id="rId5" w:history="1">
        <w:r w:rsidR="00E15A63" w:rsidRPr="004D2D75">
          <w:rPr>
            <w:rStyle w:val="Hyperlink"/>
            <w:rFonts w:ascii="Times New Roman" w:hAnsi="Times New Roman" w:cs="Times New Roman"/>
            <w:sz w:val="20"/>
          </w:rPr>
          <w:t>http://www.idot.illinois.gov/Assets/uploads/files/Doing-Business/Manuals-Guides-&amp;-Handbooks/Highways/Materials/Geotechnical%20Manual.pdf</w:t>
        </w:r>
      </w:hyperlink>
      <w:r w:rsidR="00E15A63">
        <w:rPr>
          <w:rFonts w:ascii="Times New Roman" w:hAnsi="Times New Roman" w:cs="Times New Roman"/>
          <w:sz w:val="20"/>
        </w:rPr>
        <w:t xml:space="preserve"> </w:t>
      </w:r>
    </w:p>
    <w:p w:rsidR="00E15A63" w:rsidRDefault="00E15A63" w:rsidP="008C4038">
      <w:pPr>
        <w:spacing w:before="24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Subgrade Stability Manual: </w:t>
      </w:r>
      <w:hyperlink r:id="rId6" w:history="1">
        <w:r w:rsidRPr="004D2D75">
          <w:rPr>
            <w:rStyle w:val="Hyperlink"/>
            <w:rFonts w:ascii="Times New Roman" w:hAnsi="Times New Roman" w:cs="Times New Roman"/>
            <w:sz w:val="20"/>
          </w:rPr>
          <w:t>http://www.idot.illinois.gov/Assets/uploads/files/Doing-Business/Manuals-Guides-&amp;-Handbooks/Highways/Bridges/Geotechnical/Subgrade%20Stability%20Manual.pdf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:rsidR="008C4038" w:rsidRPr="00E15A63" w:rsidRDefault="008C4038" w:rsidP="008C4038">
      <w:pPr>
        <w:spacing w:before="240" w:line="240" w:lineRule="auto"/>
        <w:contextualSpacing/>
      </w:pPr>
      <w:r>
        <w:rPr>
          <w:rFonts w:ascii="Times New Roman" w:hAnsi="Times New Roman" w:cs="Times New Roman"/>
          <w:sz w:val="20"/>
        </w:rPr>
        <w:t>Standard Specifications:</w:t>
      </w:r>
      <w:r w:rsidR="00E15A63">
        <w:rPr>
          <w:rFonts w:ascii="Times New Roman" w:hAnsi="Times New Roman" w:cs="Times New Roman"/>
          <w:sz w:val="20"/>
        </w:rPr>
        <w:t xml:space="preserve"> </w:t>
      </w:r>
      <w:hyperlink r:id="rId7" w:history="1">
        <w:r w:rsidR="00E15A63" w:rsidRPr="004D2D75">
          <w:rPr>
            <w:rStyle w:val="Hyperlink"/>
            <w:rFonts w:ascii="Times New Roman" w:hAnsi="Times New Roman" w:cs="Times New Roman"/>
            <w:sz w:val="20"/>
          </w:rPr>
          <w:t>http://www.idot.illinois.gov/Assets/uploads/files/Doing-Business/Manuals-Guides-&amp;-Handbooks/Highways/Construction/Standard-Specifications/Standard%20Specifications%20for%20Road%20and%20Bridge%20Construction%202016.pdf</w:t>
        </w:r>
      </w:hyperlink>
      <w:r w:rsidR="00E15A63">
        <w:rPr>
          <w:rFonts w:ascii="Times New Roman" w:hAnsi="Times New Roman" w:cs="Times New Roman"/>
          <w:sz w:val="20"/>
        </w:rPr>
        <w:t xml:space="preserve"> </w:t>
      </w:r>
    </w:p>
    <w:p w:rsidR="008C4038" w:rsidRDefault="008C4038" w:rsidP="008C4038">
      <w:pPr>
        <w:spacing w:before="24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Supplemental Specifications and Special Provisions:</w:t>
      </w:r>
      <w:r w:rsidR="00E15A63">
        <w:rPr>
          <w:rFonts w:ascii="Times New Roman" w:hAnsi="Times New Roman" w:cs="Times New Roman"/>
          <w:sz w:val="20"/>
        </w:rPr>
        <w:t xml:space="preserve"> </w:t>
      </w:r>
      <w:hyperlink r:id="rId8" w:history="1">
        <w:r w:rsidR="00E15A63" w:rsidRPr="004D2D75">
          <w:rPr>
            <w:rStyle w:val="Hyperlink"/>
            <w:rFonts w:ascii="Times New Roman" w:hAnsi="Times New Roman" w:cs="Times New Roman"/>
            <w:sz w:val="20"/>
          </w:rPr>
          <w:t>http://www.idot.illinois.gov/Assets/uploads/files/Doing-Business/Manuals-Guides-&amp;-Handbooks/Highways/Construction/Supplemental-Standards-Specifications/Supplemental%20Specifications%20and%20Recurring%20Special%20Provisions%202016.pdf</w:t>
        </w:r>
      </w:hyperlink>
      <w:r w:rsidR="00E15A63">
        <w:rPr>
          <w:rFonts w:ascii="Times New Roman" w:hAnsi="Times New Roman" w:cs="Times New Roman"/>
          <w:sz w:val="20"/>
        </w:rPr>
        <w:t xml:space="preserve"> </w:t>
      </w:r>
    </w:p>
    <w:p w:rsidR="008C4038" w:rsidRDefault="008C4038" w:rsidP="008C4038">
      <w:pPr>
        <w:spacing w:before="24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Bureau of Design and Environment </w:t>
      </w:r>
      <w:r w:rsidR="00704FE2">
        <w:rPr>
          <w:rFonts w:ascii="Times New Roman" w:hAnsi="Times New Roman" w:cs="Times New Roman"/>
          <w:sz w:val="20"/>
        </w:rPr>
        <w:t xml:space="preserve">(BDE) </w:t>
      </w:r>
      <w:r>
        <w:rPr>
          <w:rFonts w:ascii="Times New Roman" w:hAnsi="Times New Roman" w:cs="Times New Roman"/>
          <w:sz w:val="20"/>
        </w:rPr>
        <w:t>Special Provisions:</w:t>
      </w:r>
      <w:r w:rsidR="00E15A63">
        <w:rPr>
          <w:rFonts w:ascii="Times New Roman" w:hAnsi="Times New Roman" w:cs="Times New Roman"/>
          <w:sz w:val="20"/>
        </w:rPr>
        <w:t xml:space="preserve"> </w:t>
      </w:r>
      <w:hyperlink r:id="rId9" w:history="1">
        <w:r w:rsidR="00E15A63" w:rsidRPr="004D2D75">
          <w:rPr>
            <w:rStyle w:val="Hyperlink"/>
            <w:rFonts w:ascii="Times New Roman" w:hAnsi="Times New Roman" w:cs="Times New Roman"/>
            <w:sz w:val="20"/>
          </w:rPr>
          <w:t>http://www.idot.illinois.gov/doing-business/procurements/engineering-architectural-professional-services/Consultants-Resources/design-and-environment-bde-special-provisions</w:t>
        </w:r>
      </w:hyperlink>
      <w:r w:rsidR="00E15A63">
        <w:rPr>
          <w:rFonts w:ascii="Times New Roman" w:hAnsi="Times New Roman" w:cs="Times New Roman"/>
          <w:sz w:val="20"/>
        </w:rPr>
        <w:t xml:space="preserve"> </w:t>
      </w:r>
    </w:p>
    <w:p w:rsidR="00AA6BAF" w:rsidRDefault="00AA6BAF" w:rsidP="008C4038">
      <w:pPr>
        <w:spacing w:before="24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Bureau of Materials and Physical Research Policy Memorandums: </w:t>
      </w:r>
      <w:hyperlink r:id="rId10" w:history="1">
        <w:r w:rsidRPr="004D2D75">
          <w:rPr>
            <w:rStyle w:val="Hyperlink"/>
            <w:rFonts w:ascii="Times New Roman" w:hAnsi="Times New Roman" w:cs="Times New Roman"/>
            <w:sz w:val="20"/>
          </w:rPr>
          <w:t>http://www.idot.illinois.gov/Assets/uploads/files/Doing-Business/Specialty-Lists/Highways/Materials/Materials-&amp;-Physical-Research/ListOfPolicyMemos.pdf</w:t>
        </w:r>
      </w:hyperlink>
      <w:r>
        <w:rPr>
          <w:rFonts w:ascii="Times New Roman" w:hAnsi="Times New Roman" w:cs="Times New Roman"/>
          <w:sz w:val="20"/>
        </w:rPr>
        <w:t xml:space="preserve"> </w:t>
      </w:r>
    </w:p>
    <w:p w:rsidR="00AA6BAF" w:rsidRDefault="00AA6BAF" w:rsidP="008C4038">
      <w:pPr>
        <w:spacing w:before="240" w:line="240" w:lineRule="auto"/>
        <w:contextualSpacing/>
        <w:rPr>
          <w:rFonts w:ascii="Times New Roman" w:hAnsi="Times New Roman" w:cs="Times New Roman"/>
          <w:sz w:val="20"/>
        </w:rPr>
      </w:pPr>
    </w:p>
    <w:p w:rsidR="00AA6BAF" w:rsidRDefault="00AA6BAF" w:rsidP="00AA6BAF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The first chart below lists by section the construction standards with title and whether either a standard specification or BDE special provision.  The second chart lists the materials sections that are also referred to in the appropriate construction section.</w:t>
      </w:r>
    </w:p>
    <w:p w:rsidR="00AA6BAF" w:rsidRDefault="00AA6BAF" w:rsidP="00AA6BAF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:rsidR="00E15A63" w:rsidRDefault="006B1FAF" w:rsidP="008C4038">
      <w:pPr>
        <w:spacing w:before="240" w:line="240" w:lineRule="auto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Construction Standards</w:t>
      </w:r>
    </w:p>
    <w:p w:rsidR="006B1FAF" w:rsidRPr="006B1FAF" w:rsidRDefault="006B1FAF" w:rsidP="008C4038">
      <w:pPr>
        <w:spacing w:before="240" w:line="240" w:lineRule="auto"/>
        <w:contextualSpacing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37"/>
        <w:gridCol w:w="5809"/>
        <w:gridCol w:w="2034"/>
      </w:tblGrid>
      <w:tr w:rsidR="00E15A63" w:rsidRPr="00704FE2" w:rsidTr="006B1FAF">
        <w:tc>
          <w:tcPr>
            <w:tcW w:w="1337" w:type="dxa"/>
          </w:tcPr>
          <w:p w:rsidR="00E15A63" w:rsidRPr="006B1FAF" w:rsidRDefault="00E15A63" w:rsidP="008C4038">
            <w:pPr>
              <w:spacing w:before="2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B1FAF">
              <w:rPr>
                <w:rFonts w:ascii="Arial" w:hAnsi="Arial" w:cs="Arial"/>
                <w:b/>
                <w:sz w:val="18"/>
                <w:szCs w:val="18"/>
              </w:rPr>
              <w:t>Specification</w:t>
            </w:r>
          </w:p>
        </w:tc>
        <w:tc>
          <w:tcPr>
            <w:tcW w:w="5809" w:type="dxa"/>
          </w:tcPr>
          <w:p w:rsidR="00E15A63" w:rsidRPr="006B1FAF" w:rsidRDefault="00E15A63" w:rsidP="008C4038">
            <w:pPr>
              <w:spacing w:before="2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B1FAF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034" w:type="dxa"/>
          </w:tcPr>
          <w:p w:rsidR="00E15A63" w:rsidRPr="006B1FAF" w:rsidRDefault="00E15A63" w:rsidP="008C4038">
            <w:pPr>
              <w:spacing w:before="2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B1FAF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</w:tr>
      <w:tr w:rsidR="00E15A63" w:rsidTr="006B1FAF">
        <w:tc>
          <w:tcPr>
            <w:tcW w:w="1337" w:type="dxa"/>
          </w:tcPr>
          <w:p w:rsidR="00E15A63" w:rsidRPr="006B1FAF" w:rsidRDefault="00E15A63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809" w:type="dxa"/>
          </w:tcPr>
          <w:p w:rsidR="00E15A63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Earth and Rock Excavation</w:t>
            </w:r>
          </w:p>
        </w:tc>
        <w:tc>
          <w:tcPr>
            <w:tcW w:w="2034" w:type="dxa"/>
          </w:tcPr>
          <w:p w:rsidR="00E15A63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E15A63" w:rsidTr="006B1FAF">
        <w:tc>
          <w:tcPr>
            <w:tcW w:w="1337" w:type="dxa"/>
          </w:tcPr>
          <w:p w:rsidR="00E15A63" w:rsidRPr="006B1FAF" w:rsidRDefault="00E15A63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809" w:type="dxa"/>
          </w:tcPr>
          <w:p w:rsidR="00E15A63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Borrow and Furnished Excavation</w:t>
            </w:r>
          </w:p>
        </w:tc>
        <w:tc>
          <w:tcPr>
            <w:tcW w:w="2034" w:type="dxa"/>
          </w:tcPr>
          <w:p w:rsidR="00E15A63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Embankment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Granular Embankment, Special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Porous Granular Embankment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Trench Backfill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Porous Granular Backfill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Fabric for Ground Stabilization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Subgrade Preparation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Soil Modification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Lime Stabilized Soil Mixture</w:t>
            </w:r>
            <w:r w:rsidRPr="006B1FAF">
              <w:rPr>
                <w:rFonts w:ascii="Arial" w:hAnsi="Arial" w:cs="Arial"/>
                <w:sz w:val="18"/>
                <w:szCs w:val="18"/>
              </w:rPr>
              <w:t xml:space="preserve"> - Subbase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Granular Subbase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Stabilized Subbase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Lime Stabilized Soil Mixture</w:t>
            </w:r>
            <w:r w:rsidRPr="006B1FAF">
              <w:rPr>
                <w:rFonts w:ascii="Arial" w:hAnsi="Arial" w:cs="Arial"/>
                <w:sz w:val="18"/>
                <w:szCs w:val="18"/>
              </w:rPr>
              <w:t xml:space="preserve"> – Base Course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Aggregate Base Course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Soil-Cement Base Course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Repair and Preparation of Base Course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5809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Pipe Drains, Pipe Underdrains, and French Drains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704FE2" w:rsidTr="006B1FAF">
        <w:tc>
          <w:tcPr>
            <w:tcW w:w="1337" w:type="dxa"/>
          </w:tcPr>
          <w:p w:rsidR="00704FE2" w:rsidRPr="006B1FAF" w:rsidRDefault="00704FE2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663</w:t>
            </w:r>
          </w:p>
        </w:tc>
        <w:tc>
          <w:tcPr>
            <w:tcW w:w="5809" w:type="dxa"/>
          </w:tcPr>
          <w:p w:rsidR="00704FE2" w:rsidRPr="006B1FAF" w:rsidRDefault="00704FE2" w:rsidP="006B1FA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Calcium</w:t>
            </w:r>
            <w:r w:rsidR="006B1FAF" w:rsidRPr="006B1F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1FAF">
              <w:rPr>
                <w:rFonts w:ascii="Arial" w:hAnsi="Arial" w:cs="Arial"/>
                <w:sz w:val="18"/>
                <w:szCs w:val="18"/>
              </w:rPr>
              <w:t>Chloride Applied</w:t>
            </w:r>
          </w:p>
        </w:tc>
        <w:tc>
          <w:tcPr>
            <w:tcW w:w="2034" w:type="dxa"/>
          </w:tcPr>
          <w:p w:rsidR="00704FE2" w:rsidRPr="006B1FAF" w:rsidRDefault="00704FE2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E15A63" w:rsidTr="006B1FAF">
        <w:tc>
          <w:tcPr>
            <w:tcW w:w="1337" w:type="dxa"/>
          </w:tcPr>
          <w:p w:rsidR="00E15A63" w:rsidRPr="006B1FAF" w:rsidRDefault="006B1FAF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80274m</w:t>
            </w:r>
          </w:p>
        </w:tc>
        <w:tc>
          <w:tcPr>
            <w:tcW w:w="5809" w:type="dxa"/>
          </w:tcPr>
          <w:p w:rsidR="00E15A63" w:rsidRPr="006B1FAF" w:rsidRDefault="006B1FAF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Aggregate Subgrade Improvement</w:t>
            </w:r>
          </w:p>
        </w:tc>
        <w:tc>
          <w:tcPr>
            <w:tcW w:w="2034" w:type="dxa"/>
          </w:tcPr>
          <w:p w:rsidR="00E15A63" w:rsidRPr="006B1FAF" w:rsidRDefault="006B1FAF" w:rsidP="008C4038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BDE Special</w:t>
            </w:r>
          </w:p>
        </w:tc>
      </w:tr>
    </w:tbl>
    <w:p w:rsidR="00E15A63" w:rsidRDefault="00E15A63" w:rsidP="008C4038">
      <w:pPr>
        <w:spacing w:before="240" w:line="240" w:lineRule="auto"/>
        <w:contextualSpacing/>
        <w:rPr>
          <w:rFonts w:ascii="Times New Roman" w:hAnsi="Times New Roman" w:cs="Times New Roman"/>
          <w:sz w:val="20"/>
        </w:rPr>
      </w:pPr>
    </w:p>
    <w:p w:rsidR="006B1FAF" w:rsidRDefault="006B1FAF" w:rsidP="006B1FAF">
      <w:pPr>
        <w:spacing w:before="240" w:line="240" w:lineRule="auto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Materials</w:t>
      </w:r>
      <w:r>
        <w:rPr>
          <w:rFonts w:ascii="Times New Roman" w:hAnsi="Times New Roman" w:cs="Times New Roman"/>
          <w:b/>
          <w:sz w:val="20"/>
        </w:rPr>
        <w:t xml:space="preserve"> Standards</w:t>
      </w:r>
    </w:p>
    <w:p w:rsidR="006B1FAF" w:rsidRPr="006B1FAF" w:rsidRDefault="006B1FAF" w:rsidP="006B1FAF">
      <w:pPr>
        <w:spacing w:before="240" w:line="240" w:lineRule="auto"/>
        <w:contextualSpacing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37"/>
        <w:gridCol w:w="5809"/>
        <w:gridCol w:w="2034"/>
      </w:tblGrid>
      <w:tr w:rsidR="006B1FAF" w:rsidRPr="00704FE2" w:rsidTr="00A046BF">
        <w:tc>
          <w:tcPr>
            <w:tcW w:w="1337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B1FAF">
              <w:rPr>
                <w:rFonts w:ascii="Arial" w:hAnsi="Arial" w:cs="Arial"/>
                <w:b/>
                <w:sz w:val="18"/>
                <w:szCs w:val="18"/>
              </w:rPr>
              <w:t>Specification</w:t>
            </w:r>
          </w:p>
        </w:tc>
        <w:tc>
          <w:tcPr>
            <w:tcW w:w="5809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B1FAF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2034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B1FAF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</w:tr>
      <w:tr w:rsidR="006B1FAF" w:rsidTr="00A046BF">
        <w:tc>
          <w:tcPr>
            <w:tcW w:w="1337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</w:t>
            </w:r>
          </w:p>
        </w:tc>
        <w:tc>
          <w:tcPr>
            <w:tcW w:w="5809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Fine Aggregates</w:t>
            </w:r>
          </w:p>
        </w:tc>
        <w:tc>
          <w:tcPr>
            <w:tcW w:w="2034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6B1FAF" w:rsidTr="00A046BF">
        <w:tc>
          <w:tcPr>
            <w:tcW w:w="1337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5809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Coarse Aggregates</w:t>
            </w:r>
          </w:p>
        </w:tc>
        <w:tc>
          <w:tcPr>
            <w:tcW w:w="2034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6B1FAF" w:rsidTr="00A046BF">
        <w:tc>
          <w:tcPr>
            <w:tcW w:w="1337" w:type="dxa"/>
          </w:tcPr>
          <w:p w:rsidR="006B1FAF" w:rsidRPr="00AA6BAF" w:rsidRDefault="00AA6BAF" w:rsidP="00AA6BA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A6BAF">
              <w:rPr>
                <w:rFonts w:ascii="Arial" w:hAnsi="Arial" w:cs="Arial"/>
                <w:sz w:val="18"/>
              </w:rPr>
              <w:t>7-08.2</w:t>
            </w:r>
          </w:p>
        </w:tc>
        <w:tc>
          <w:tcPr>
            <w:tcW w:w="5809" w:type="dxa"/>
          </w:tcPr>
          <w:p w:rsidR="006B1FAF" w:rsidRPr="006B1FAF" w:rsidRDefault="00AA6B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Recycling Portland Cement Concrete into Aggregate</w:t>
            </w:r>
          </w:p>
        </w:tc>
        <w:tc>
          <w:tcPr>
            <w:tcW w:w="2034" w:type="dxa"/>
          </w:tcPr>
          <w:p w:rsidR="006B1FAF" w:rsidRPr="006B1FAF" w:rsidRDefault="00AA6BAF" w:rsidP="00AA6B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BMPR Policy Memo</w:t>
            </w:r>
          </w:p>
        </w:tc>
      </w:tr>
      <w:tr w:rsidR="006B1FAF" w:rsidTr="00A046BF">
        <w:tc>
          <w:tcPr>
            <w:tcW w:w="1337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1009</w:t>
            </w:r>
          </w:p>
        </w:tc>
        <w:tc>
          <w:tcPr>
            <w:tcW w:w="5809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Soil</w:t>
            </w:r>
          </w:p>
        </w:tc>
        <w:tc>
          <w:tcPr>
            <w:tcW w:w="2034" w:type="dxa"/>
          </w:tcPr>
          <w:p w:rsidR="006B1FAF" w:rsidRPr="006B1FAF" w:rsidRDefault="006B1FAF" w:rsidP="00A046BF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6B1FAF" w:rsidTr="00A046BF">
        <w:tc>
          <w:tcPr>
            <w:tcW w:w="1337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</w:t>
            </w:r>
          </w:p>
        </w:tc>
        <w:tc>
          <w:tcPr>
            <w:tcW w:w="5809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Lime</w:t>
            </w:r>
          </w:p>
        </w:tc>
        <w:tc>
          <w:tcPr>
            <w:tcW w:w="2034" w:type="dxa"/>
          </w:tcPr>
          <w:p w:rsidR="006B1FAF" w:rsidRPr="006B1FAF" w:rsidRDefault="006B1FAF" w:rsidP="00A046BF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6B1FAF" w:rsidTr="00A046BF">
        <w:tc>
          <w:tcPr>
            <w:tcW w:w="1337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</w:t>
            </w:r>
          </w:p>
        </w:tc>
        <w:tc>
          <w:tcPr>
            <w:tcW w:w="5809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Chlorides</w:t>
            </w:r>
          </w:p>
        </w:tc>
        <w:tc>
          <w:tcPr>
            <w:tcW w:w="2034" w:type="dxa"/>
          </w:tcPr>
          <w:p w:rsidR="006B1FAF" w:rsidRPr="006B1FAF" w:rsidRDefault="006B1FAF" w:rsidP="00A046BF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6B1FAF" w:rsidTr="00A046BF">
        <w:tc>
          <w:tcPr>
            <w:tcW w:w="1337" w:type="dxa"/>
          </w:tcPr>
          <w:p w:rsidR="006B1FAF" w:rsidRPr="006B1FAF" w:rsidRDefault="006B1F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1031</w:t>
            </w:r>
          </w:p>
        </w:tc>
        <w:tc>
          <w:tcPr>
            <w:tcW w:w="5809" w:type="dxa"/>
          </w:tcPr>
          <w:p w:rsidR="006B1FAF" w:rsidRPr="006B1FAF" w:rsidRDefault="00AA6B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Reclaimed Asphalt Pavement</w:t>
            </w:r>
          </w:p>
        </w:tc>
        <w:tc>
          <w:tcPr>
            <w:tcW w:w="2034" w:type="dxa"/>
          </w:tcPr>
          <w:p w:rsidR="006B1FAF" w:rsidRPr="006B1FAF" w:rsidRDefault="006B1FAF" w:rsidP="00A046BF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  <w:tr w:rsidR="006B1FAF" w:rsidTr="00A046BF">
        <w:tc>
          <w:tcPr>
            <w:tcW w:w="1337" w:type="dxa"/>
          </w:tcPr>
          <w:p w:rsidR="006B1FAF" w:rsidRPr="006B1FAF" w:rsidRDefault="00AA6B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A6BAF">
              <w:rPr>
                <w:rFonts w:ascii="Arial" w:hAnsi="Arial" w:cs="Arial"/>
                <w:sz w:val="18"/>
              </w:rPr>
              <w:t>31-13.0</w:t>
            </w:r>
          </w:p>
        </w:tc>
        <w:tc>
          <w:tcPr>
            <w:tcW w:w="5809" w:type="dxa"/>
          </w:tcPr>
          <w:p w:rsidR="006B1FAF" w:rsidRPr="006B1FAF" w:rsidRDefault="00AA6B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Reclaimed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Ashpalt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Pavement (RAP) for Aggregate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Aplications</w:t>
            </w:r>
            <w:proofErr w:type="spellEnd"/>
          </w:p>
        </w:tc>
        <w:tc>
          <w:tcPr>
            <w:tcW w:w="2034" w:type="dxa"/>
          </w:tcPr>
          <w:p w:rsidR="006B1FAF" w:rsidRPr="006B1FAF" w:rsidRDefault="00AA6BAF" w:rsidP="00A046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BMPR Policy Memo</w:t>
            </w:r>
          </w:p>
        </w:tc>
      </w:tr>
      <w:tr w:rsidR="006B1FAF" w:rsidTr="00A046BF">
        <w:tc>
          <w:tcPr>
            <w:tcW w:w="1337" w:type="dxa"/>
          </w:tcPr>
          <w:p w:rsidR="006B1FAF" w:rsidRPr="006B1FAF" w:rsidRDefault="00AA6B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</w:t>
            </w:r>
          </w:p>
        </w:tc>
        <w:tc>
          <w:tcPr>
            <w:tcW w:w="5809" w:type="dxa"/>
          </w:tcPr>
          <w:p w:rsidR="006B1FAF" w:rsidRPr="006B1FAF" w:rsidRDefault="00AA6BAF" w:rsidP="00A046BF">
            <w:pPr>
              <w:spacing w:before="2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Fabric Materials</w:t>
            </w:r>
          </w:p>
        </w:tc>
        <w:tc>
          <w:tcPr>
            <w:tcW w:w="2034" w:type="dxa"/>
          </w:tcPr>
          <w:p w:rsidR="006B1FAF" w:rsidRPr="006B1FAF" w:rsidRDefault="006B1FAF" w:rsidP="00A046BF">
            <w:pPr>
              <w:rPr>
                <w:rFonts w:ascii="Arial" w:hAnsi="Arial" w:cs="Arial"/>
                <w:sz w:val="18"/>
                <w:szCs w:val="18"/>
              </w:rPr>
            </w:pPr>
            <w:r w:rsidRPr="006B1FAF">
              <w:rPr>
                <w:rFonts w:ascii="Arial" w:hAnsi="Arial" w:cs="Arial"/>
                <w:sz w:val="18"/>
                <w:szCs w:val="18"/>
              </w:rPr>
              <w:t>Standard</w:t>
            </w:r>
          </w:p>
        </w:tc>
      </w:tr>
    </w:tbl>
    <w:p w:rsidR="006B1FAF" w:rsidRPr="008C4038" w:rsidRDefault="006B1FAF" w:rsidP="008C4038">
      <w:pPr>
        <w:spacing w:before="240" w:line="240" w:lineRule="auto"/>
        <w:contextualSpacing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6B1FAF" w:rsidRPr="008C4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38"/>
    <w:rsid w:val="006B1FAF"/>
    <w:rsid w:val="00704FE2"/>
    <w:rsid w:val="008C4038"/>
    <w:rsid w:val="00992BAD"/>
    <w:rsid w:val="00AA6BAF"/>
    <w:rsid w:val="00B857E5"/>
    <w:rsid w:val="00CE1391"/>
    <w:rsid w:val="00D2104E"/>
    <w:rsid w:val="00E15A63"/>
    <w:rsid w:val="00F5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A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6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A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6B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ot.illinois.gov/Assets/uploads/files/Doing-Business/Manuals-Guides-&amp;-Handbooks/Highways/Construction/Supplemental-Standards-Specifications/Supplemental%20Specifications%20and%20Recurring%20Special%20Provisions%20201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ot.illinois.gov/Assets/uploads/files/Doing-Business/Manuals-Guides-&amp;-Handbooks/Highways/Construction/Standard-Specifications/Standard%20Specifications%20for%20Road%20and%20Bridge%20Construction%202016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dot.illinois.gov/Assets/uploads/files/Doing-Business/Manuals-Guides-&amp;-Handbooks/Highways/Bridges/Geotechnical/Subgrade%20Stability%20Manual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ot.illinois.gov/Assets/uploads/files/Doing-Business/Manuals-Guides-&amp;-Handbooks/Highways/Materials/Geotechnical%20Manual.pdf" TargetMode="External"/><Relationship Id="rId10" Type="http://schemas.openxmlformats.org/officeDocument/2006/relationships/hyperlink" Target="http://www.idot.illinois.gov/Assets/uploads/files/Doing-Business/Specialty-Lists/Highways/Materials/Materials-&amp;-Physical-Research/ListOfPolicyMemo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ot.illinois.gov/doing-business/procurements/engineering-architectural-professional-services/Consultants-Resources/design-and-environment-bde-special-provi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A120CA82.dotm</Template>
  <TotalTime>254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beshearssa</dc:creator>
  <cp:lastModifiedBy>beshearssa</cp:lastModifiedBy>
  <cp:revision>3</cp:revision>
  <dcterms:created xsi:type="dcterms:W3CDTF">2016-06-15T15:39:00Z</dcterms:created>
  <dcterms:modified xsi:type="dcterms:W3CDTF">2016-06-17T17:01:00Z</dcterms:modified>
</cp:coreProperties>
</file>