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3F872" w14:textId="51F55279" w:rsidR="0072152B" w:rsidRDefault="0072152B" w:rsidP="006972C5">
      <w:pPr>
        <w:pStyle w:val="NoSpacing"/>
      </w:pPr>
    </w:p>
    <w:p w14:paraId="4B69C1E6" w14:textId="33407B82" w:rsidR="006972C5" w:rsidRDefault="006972C5" w:rsidP="006972C5">
      <w:pPr>
        <w:pStyle w:val="NoSpacing"/>
      </w:pPr>
    </w:p>
    <w:p w14:paraId="4BCEF3BB" w14:textId="5D692E0A" w:rsidR="006972C5" w:rsidRDefault="006972C5" w:rsidP="006972C5">
      <w:pPr>
        <w:pStyle w:val="NoSpacing"/>
      </w:pPr>
    </w:p>
    <w:p w14:paraId="27181F0F" w14:textId="636C4BBA" w:rsidR="006972C5" w:rsidRDefault="006972C5" w:rsidP="006972C5">
      <w:pPr>
        <w:pStyle w:val="NoSpacing"/>
      </w:pPr>
    </w:p>
    <w:p w14:paraId="4CA21123" w14:textId="00783B25" w:rsidR="006972C5" w:rsidRDefault="006972C5" w:rsidP="006972C5">
      <w:pPr>
        <w:pStyle w:val="NoSpacing"/>
      </w:pPr>
    </w:p>
    <w:p w14:paraId="1F819C3D" w14:textId="4A538091" w:rsidR="006972C5" w:rsidRDefault="006972C5" w:rsidP="006972C5">
      <w:pPr>
        <w:pStyle w:val="NoSpacing"/>
      </w:pPr>
    </w:p>
    <w:p w14:paraId="007806B2" w14:textId="17A58587" w:rsidR="006972C5" w:rsidRDefault="006972C5" w:rsidP="006972C5">
      <w:pPr>
        <w:pStyle w:val="NoSpacing"/>
      </w:pPr>
    </w:p>
    <w:p w14:paraId="44003BA0" w14:textId="57FC3537" w:rsidR="006972C5" w:rsidRDefault="006972C5" w:rsidP="006972C5">
      <w:pPr>
        <w:pStyle w:val="NoSpacing"/>
      </w:pPr>
    </w:p>
    <w:p w14:paraId="0192571A" w14:textId="662424EF" w:rsidR="006972C5" w:rsidRDefault="006972C5" w:rsidP="006972C5">
      <w:pPr>
        <w:pStyle w:val="NoSpacing"/>
      </w:pPr>
    </w:p>
    <w:p w14:paraId="13A9D047" w14:textId="77777777" w:rsidR="006972C5" w:rsidRDefault="006972C5" w:rsidP="006972C5">
      <w:pPr>
        <w:pStyle w:val="NoSpacing"/>
      </w:pPr>
    </w:p>
    <w:p w14:paraId="7DBD72AA" w14:textId="77777777" w:rsidR="006972C5" w:rsidRDefault="006972C5" w:rsidP="0096527A">
      <w:pPr>
        <w:contextualSpacing w:val="0"/>
        <w:jc w:val="center"/>
      </w:pPr>
      <w:r w:rsidRPr="0096527A">
        <w:rPr>
          <w:rFonts w:eastAsiaTheme="minorHAnsi" w:cstheme="minorBidi"/>
          <w:sz w:val="40"/>
          <w:szCs w:val="40"/>
        </w:rPr>
        <w:t>Effect of Low and Moderate Recycled Concrete Aggregate Replacement Levels on Concrete Properties</w:t>
      </w:r>
    </w:p>
    <w:p w14:paraId="1824CF5F" w14:textId="77777777" w:rsidR="006972C5" w:rsidRDefault="006972C5" w:rsidP="006972C5"/>
    <w:p w14:paraId="57342349" w14:textId="77777777" w:rsidR="006972C5" w:rsidRDefault="006972C5" w:rsidP="006972C5">
      <w:pPr>
        <w:jc w:val="center"/>
      </w:pPr>
      <w:r>
        <w:t>A Proposal for the National Road Research Alliance</w:t>
      </w:r>
    </w:p>
    <w:p w14:paraId="063A9512" w14:textId="77777777" w:rsidR="006972C5" w:rsidRDefault="006972C5" w:rsidP="006972C5"/>
    <w:p w14:paraId="10757616" w14:textId="77777777" w:rsidR="006972C5" w:rsidRDefault="006972C5" w:rsidP="006972C5"/>
    <w:p w14:paraId="053FD35B" w14:textId="77777777" w:rsidR="006972C5" w:rsidRDefault="006972C5" w:rsidP="006972C5"/>
    <w:p w14:paraId="08E130DB" w14:textId="62B3ADEA" w:rsidR="006972C5" w:rsidRDefault="006972C5" w:rsidP="006972C5"/>
    <w:p w14:paraId="2223E019" w14:textId="77777777" w:rsidR="006972C5" w:rsidRDefault="006972C5" w:rsidP="006972C5"/>
    <w:p w14:paraId="421C03B8" w14:textId="77777777" w:rsidR="006972C5" w:rsidRDefault="006972C5" w:rsidP="006972C5"/>
    <w:p w14:paraId="47C79298" w14:textId="77777777" w:rsidR="006972C5" w:rsidRDefault="006972C5" w:rsidP="006972C5"/>
    <w:p w14:paraId="4E4FA882" w14:textId="77777777" w:rsidR="006972C5" w:rsidRDefault="006972C5" w:rsidP="006972C5"/>
    <w:p w14:paraId="61007484" w14:textId="77777777" w:rsidR="006972C5" w:rsidRDefault="006972C5" w:rsidP="006972C5"/>
    <w:p w14:paraId="6982DE5E" w14:textId="5558DCBF" w:rsidR="006972C5" w:rsidRDefault="006972C5" w:rsidP="006972C5"/>
    <w:p w14:paraId="4D197808" w14:textId="77777777" w:rsidR="006972C5" w:rsidRDefault="006972C5" w:rsidP="006972C5"/>
    <w:p w14:paraId="5C99A3FF" w14:textId="77777777" w:rsidR="006972C5" w:rsidRDefault="006972C5" w:rsidP="006972C5"/>
    <w:p w14:paraId="0D356467" w14:textId="77777777" w:rsidR="006972C5" w:rsidRDefault="006972C5" w:rsidP="006972C5"/>
    <w:p w14:paraId="54597312" w14:textId="77777777" w:rsidR="006972C5" w:rsidRDefault="006972C5" w:rsidP="006972C5"/>
    <w:p w14:paraId="06A06776" w14:textId="77777777" w:rsidR="006972C5" w:rsidRDefault="006972C5" w:rsidP="006972C5"/>
    <w:p w14:paraId="52ADDF40" w14:textId="77777777" w:rsidR="006972C5" w:rsidRDefault="006972C5" w:rsidP="006972C5"/>
    <w:p w14:paraId="735A7BBB" w14:textId="77777777" w:rsidR="006972C5" w:rsidRDefault="006972C5" w:rsidP="006972C5"/>
    <w:p w14:paraId="71499AD5" w14:textId="77777777" w:rsidR="006972C5" w:rsidRDefault="006972C5" w:rsidP="006972C5"/>
    <w:p w14:paraId="2FC5DEC8" w14:textId="77777777" w:rsidR="006972C5" w:rsidRDefault="006972C5" w:rsidP="006972C5"/>
    <w:p w14:paraId="55006CCE" w14:textId="77777777" w:rsidR="006972C5" w:rsidRDefault="006972C5" w:rsidP="006972C5"/>
    <w:p w14:paraId="0C5B05FD" w14:textId="77777777" w:rsidR="006972C5" w:rsidRDefault="006972C5" w:rsidP="006972C5"/>
    <w:p w14:paraId="1B0164A6" w14:textId="77777777" w:rsidR="006972C5" w:rsidRDefault="006972C5" w:rsidP="006972C5">
      <w:pPr>
        <w:jc w:val="center"/>
      </w:pPr>
      <w:r>
        <w:t>PI: Rita Lederle, PhD, PE</w:t>
      </w:r>
    </w:p>
    <w:p w14:paraId="1F7EEE74" w14:textId="77777777" w:rsidR="006972C5" w:rsidRDefault="006972C5" w:rsidP="006972C5">
      <w:pPr>
        <w:jc w:val="center"/>
      </w:pPr>
      <w:r>
        <w:t>Assistant Professor</w:t>
      </w:r>
    </w:p>
    <w:p w14:paraId="638E89D1" w14:textId="77777777" w:rsidR="006972C5" w:rsidRDefault="006972C5" w:rsidP="006972C5">
      <w:pPr>
        <w:jc w:val="center"/>
      </w:pPr>
      <w:r>
        <w:t>University of St. Thomas – Civil Engineering</w:t>
      </w:r>
    </w:p>
    <w:p w14:paraId="6E4A012C" w14:textId="77777777" w:rsidR="006972C5" w:rsidRDefault="006972C5" w:rsidP="006972C5">
      <w:pPr>
        <w:jc w:val="center"/>
      </w:pPr>
      <w:r>
        <w:t>Mail OSS100</w:t>
      </w:r>
    </w:p>
    <w:p w14:paraId="281BE48E" w14:textId="77777777" w:rsidR="006972C5" w:rsidRDefault="006972C5" w:rsidP="006972C5">
      <w:pPr>
        <w:jc w:val="center"/>
      </w:pPr>
      <w:r>
        <w:t>2115 Summit Ave</w:t>
      </w:r>
    </w:p>
    <w:p w14:paraId="511BE0E5" w14:textId="77777777" w:rsidR="006972C5" w:rsidRDefault="006972C5" w:rsidP="006972C5">
      <w:pPr>
        <w:jc w:val="center"/>
      </w:pPr>
      <w:r>
        <w:t>St Paul MN 55105</w:t>
      </w:r>
    </w:p>
    <w:p w14:paraId="358F8BB5" w14:textId="77777777" w:rsidR="006972C5" w:rsidRDefault="006972C5" w:rsidP="006972C5">
      <w:pPr>
        <w:jc w:val="center"/>
      </w:pPr>
      <w:r>
        <w:t>651-962-7745</w:t>
      </w:r>
    </w:p>
    <w:p w14:paraId="5EEF626A" w14:textId="77777777" w:rsidR="006972C5" w:rsidRDefault="006972C5" w:rsidP="006972C5">
      <w:pPr>
        <w:jc w:val="center"/>
      </w:pPr>
      <w:r>
        <w:t>rita.lederle@stthomas.edu</w:t>
      </w:r>
    </w:p>
    <w:p w14:paraId="05B6F817" w14:textId="77777777" w:rsidR="0072152B" w:rsidRDefault="0072152B">
      <w:pPr>
        <w:contextualSpacing w:val="0"/>
        <w:rPr>
          <w:b/>
          <w:bCs/>
          <w:caps/>
          <w:color w:val="1F497D"/>
          <w:spacing w:val="15"/>
          <w:szCs w:val="24"/>
        </w:rPr>
      </w:pPr>
      <w:r>
        <w:br w:type="page"/>
      </w:r>
    </w:p>
    <w:p w14:paraId="3CDF45F8" w14:textId="4747D6DB" w:rsidR="00311A6F" w:rsidRDefault="0096527A" w:rsidP="00464F44">
      <w:pPr>
        <w:pStyle w:val="Heading1"/>
        <w:keepNext w:val="0"/>
      </w:pPr>
      <w:r>
        <w:lastRenderedPageBreak/>
        <w:t>Abstract</w:t>
      </w:r>
    </w:p>
    <w:p w14:paraId="13DC19A2" w14:textId="4862F9AC" w:rsidR="001E5030" w:rsidRDefault="001E5030" w:rsidP="001E5030"/>
    <w:p w14:paraId="18111015" w14:textId="2F948EC4" w:rsidR="008926AA" w:rsidRDefault="008926AA" w:rsidP="001E5030">
      <w:r>
        <w:t xml:space="preserve">Recycled concrete aggregate (RCA) has been extensively researched as a way to improve the sustainability of concrete, eliminate construction waste, and address looming shortages of virgin </w:t>
      </w:r>
      <w:r w:rsidR="0072046D">
        <w:t xml:space="preserve">coarse </w:t>
      </w:r>
      <w:r>
        <w:t xml:space="preserve">aggregates.  However, the goal of most research is to investigate high replacement levels and maximize the amount of RCA in the concrete.  In reality, many agencies do not have access to enough RCA to </w:t>
      </w:r>
      <w:r w:rsidR="00536A41">
        <w:t>use high replacement levels because RCA is in high demand for other applications, such as granular bases.  Additionally, many agencies are reluctant to explore high replacement levels because of known concerns with the use of high replacement levels of RCA.</w:t>
      </w:r>
    </w:p>
    <w:p w14:paraId="5214BEBF" w14:textId="42F6AF91" w:rsidR="00536A41" w:rsidRDefault="00536A41" w:rsidP="001E5030"/>
    <w:p w14:paraId="0CBA2485" w14:textId="36859802" w:rsidR="00536A41" w:rsidRPr="001E5030" w:rsidRDefault="00536A41" w:rsidP="001E5030">
      <w:r>
        <w:t xml:space="preserve">The goal of this research is to investigate the effect low and moderate replacement levels of </w:t>
      </w:r>
      <w:r w:rsidR="004D6834">
        <w:t xml:space="preserve">coarse </w:t>
      </w:r>
      <w:r>
        <w:t>R</w:t>
      </w:r>
      <w:r w:rsidR="004D6834">
        <w:t xml:space="preserve">CA for virgin coarse </w:t>
      </w:r>
      <w:r>
        <w:t xml:space="preserve">aggregate in concrete for paving applications.  </w:t>
      </w:r>
      <w:r w:rsidR="004D6834">
        <w:t xml:space="preserve">Low and moderate replacement levels are most likely to be implemented because they do not require as much RCA and they may be perceived to have less risk to owners. </w:t>
      </w:r>
      <w:proofErr w:type="gramStart"/>
      <w:r>
        <w:t>Therefore</w:t>
      </w:r>
      <w:proofErr w:type="gramEnd"/>
      <w:r>
        <w:t xml:space="preserve"> it is important to understand </w:t>
      </w:r>
      <w:r w:rsidR="000C0742">
        <w:t>how these replacement levels will affect the mechanical and non-mechanical properties of the concrete.  This research will investigate the effect of</w:t>
      </w:r>
      <w:r w:rsidR="004D6834">
        <w:t xml:space="preserve"> up to</w:t>
      </w:r>
      <w:r w:rsidR="000C0742">
        <w:t xml:space="preserve"> three different RCA </w:t>
      </w:r>
      <w:r w:rsidR="004D6834">
        <w:t xml:space="preserve">coarse </w:t>
      </w:r>
      <w:r w:rsidR="000C0742">
        <w:t xml:space="preserve">aggregate types at various low and moderate replacement levels (10-50%).  Tests conducted will measure properties that are often used in performance specifications, as given in AASHTO PP 84-19.  </w:t>
      </w:r>
    </w:p>
    <w:p w14:paraId="7DB42E07" w14:textId="77777777" w:rsidR="00D62D54" w:rsidRDefault="00D62D54">
      <w:pPr>
        <w:contextualSpacing w:val="0"/>
        <w:rPr>
          <w:b/>
          <w:bCs/>
          <w:caps/>
          <w:spacing w:val="15"/>
          <w:sz w:val="22"/>
          <w:szCs w:val="24"/>
        </w:rPr>
      </w:pPr>
      <w:r>
        <w:br w:type="page"/>
      </w:r>
    </w:p>
    <w:p w14:paraId="0C85ED13" w14:textId="547805B0" w:rsidR="00D62D54" w:rsidRDefault="00D62D54" w:rsidP="00D62D54">
      <w:pPr>
        <w:pStyle w:val="Heading1"/>
      </w:pPr>
      <w:r>
        <w:lastRenderedPageBreak/>
        <w:t>Introduction and Background</w:t>
      </w:r>
    </w:p>
    <w:p w14:paraId="6B30A897" w14:textId="2F1B0433" w:rsidR="00D62D54" w:rsidRDefault="00D62D54" w:rsidP="00D62D54">
      <w:r>
        <w:t xml:space="preserve">The use of coarse recycled concrete aggregate (RCA) in pavements has been documented as early as the 1940’s and was attempted by many states in the 1970’s-1990’s. Initial results were mixed, but some major performance issues left many states hesitant to allow or specify the use of RCA in concrete. A 1994 survey sponsored by FHWA showed 11 states had tried using RCA as an aggregate in pavements at least once in the preceding decades </w:t>
      </w:r>
      <w:r>
        <w:fldChar w:fldCharType="begin"/>
      </w:r>
      <w:r>
        <w:instrText>ADDIN RW.CITE{{doc:5e4c47a0e4b08f4d0a2c3c53 Reza,F. 2017 /pmultiple references summarized in }}</w:instrText>
      </w:r>
      <w:r>
        <w:fldChar w:fldCharType="separate"/>
      </w:r>
      <w:r w:rsidRPr="00B04B20">
        <w:rPr>
          <w:rFonts w:cs="Calibri"/>
        </w:rPr>
        <w:t>(multiple references summarized in Reza and Wilde 2017)</w:t>
      </w:r>
      <w:r>
        <w:fldChar w:fldCharType="end"/>
      </w:r>
      <w:r>
        <w:t xml:space="preserve">. However, some of these tests resulted in failures and subsequent bans on the use of RCA in paving concrete, resulting in a lull of RCA projects </w:t>
      </w:r>
      <w:r>
        <w:fldChar w:fldCharType="begin"/>
      </w:r>
      <w:r>
        <w:instrText>ADDIN RW.CITE{{doc:5e4c5b61e4b066db2e013f25 Vancura,Mary 2009}}</w:instrText>
      </w:r>
      <w:r>
        <w:fldChar w:fldCharType="separate"/>
      </w:r>
      <w:r w:rsidRPr="003F60C3">
        <w:rPr>
          <w:rFonts w:cs="Calibri"/>
        </w:rPr>
        <w:t>(Vancura et al. 2009)</w:t>
      </w:r>
      <w:r>
        <w:fldChar w:fldCharType="end"/>
      </w:r>
      <w:r>
        <w:t xml:space="preserve">.  A 2004 FHWA still showed only 11 states as current users of RCA in paving concrete, though not all were states who participated in the initial round of RCA use. An analysis of several national studies on RCA use by various states shows that 22 states had tried at least a test section of RCA between 1976 and 2012, though several had disallowed its use following a trial </w:t>
      </w:r>
      <w:r>
        <w:fldChar w:fldCharType="begin"/>
      </w:r>
      <w:r>
        <w:instrText>ADDIN RW.CITE{{doc:5e4c47a0e4b08f4d0a2c3c53 Reza,F. 2017; doc:5e4c5b61e4b066db2e013f25 Vancura,Mary 2009}}</w:instrText>
      </w:r>
      <w:r>
        <w:fldChar w:fldCharType="separate"/>
      </w:r>
      <w:r w:rsidRPr="004D6705">
        <w:rPr>
          <w:rFonts w:cs="Calibri"/>
        </w:rPr>
        <w:t>(Reza and Wilde 2017; Vancura et al. 2009)</w:t>
      </w:r>
      <w:r>
        <w:fldChar w:fldCharType="end"/>
      </w:r>
      <w:r>
        <w:t xml:space="preserve">.  </w:t>
      </w:r>
    </w:p>
    <w:p w14:paraId="3A7CDB97" w14:textId="77777777" w:rsidR="00036BB4" w:rsidRDefault="00036BB4" w:rsidP="00D62D54"/>
    <w:p w14:paraId="44C0ABC1" w14:textId="77777777" w:rsidR="00D62D54" w:rsidRDefault="00D62D54" w:rsidP="00D62D54">
      <w:r>
        <w:t xml:space="preserve">A more recent survey in 2018 of 14 departments of transportation and one tollway authority found only 6 of the 15 entities surveyed currently use RCA in concrete </w:t>
      </w:r>
      <w:r>
        <w:fldChar w:fldCharType="begin"/>
      </w:r>
      <w:r>
        <w:instrText>ADDIN RW.CITE{{doc:5e4c55f1e4b088cca8c6cf67 Cackler,T. 2018}}</w:instrText>
      </w:r>
      <w:r>
        <w:fldChar w:fldCharType="separate"/>
      </w:r>
      <w:r w:rsidRPr="0068120D">
        <w:rPr>
          <w:rFonts w:cs="Calibri"/>
        </w:rPr>
        <w:t>(Cackler 2018)</w:t>
      </w:r>
      <w:r>
        <w:fldChar w:fldCharType="end"/>
      </w:r>
      <w:r>
        <w:t>.  This report also identified barriers to RCA use in concrete, including:</w:t>
      </w:r>
    </w:p>
    <w:p w14:paraId="2E89F18B" w14:textId="77777777" w:rsidR="00D62D54" w:rsidRDefault="00D62D54" w:rsidP="00D62D54">
      <w:pPr>
        <w:pStyle w:val="ListParagraph"/>
        <w:numPr>
          <w:ilvl w:val="0"/>
          <w:numId w:val="10"/>
        </w:numPr>
      </w:pPr>
      <w:r>
        <w:t>Concerns over the quality of the source concrete and the potential for material-related distresses</w:t>
      </w:r>
    </w:p>
    <w:p w14:paraId="7D042095" w14:textId="77777777" w:rsidR="00D62D54" w:rsidRDefault="00D62D54" w:rsidP="00D62D54">
      <w:pPr>
        <w:pStyle w:val="ListParagraph"/>
        <w:numPr>
          <w:ilvl w:val="0"/>
          <w:numId w:val="10"/>
        </w:numPr>
      </w:pPr>
      <w:r>
        <w:t>A lack of technical guidance on how to design and proportion mixes using RCA</w:t>
      </w:r>
    </w:p>
    <w:p w14:paraId="2262F216" w14:textId="77777777" w:rsidR="00D62D54" w:rsidRDefault="00D62D54" w:rsidP="00D62D54">
      <w:pPr>
        <w:pStyle w:val="ListParagraph"/>
        <w:numPr>
          <w:ilvl w:val="0"/>
          <w:numId w:val="10"/>
        </w:numPr>
      </w:pPr>
      <w:r>
        <w:t>A failure to account for differences in material properties of concrete made with RCA vs. virgin aggregate in pavement design</w:t>
      </w:r>
    </w:p>
    <w:p w14:paraId="48EDF681" w14:textId="77777777" w:rsidR="00D62D54" w:rsidRDefault="00D62D54" w:rsidP="00D62D54">
      <w:pPr>
        <w:pStyle w:val="ListParagraph"/>
        <w:numPr>
          <w:ilvl w:val="0"/>
          <w:numId w:val="10"/>
        </w:numPr>
      </w:pPr>
      <w:r>
        <w:t>Specifications that eliminate RCA from consideration as a viable aggregate by holding it to the same standard as virgin aggregate</w:t>
      </w:r>
    </w:p>
    <w:p w14:paraId="6C169BC3" w14:textId="77777777" w:rsidR="00D62D54" w:rsidRDefault="00D62D54" w:rsidP="00D62D54">
      <w:pPr>
        <w:pStyle w:val="ListParagraph"/>
      </w:pPr>
    </w:p>
    <w:p w14:paraId="3A626D12" w14:textId="77777777" w:rsidR="00D62D54" w:rsidRDefault="00D62D54" w:rsidP="00D62D54">
      <w:r>
        <w:t xml:space="preserve">When used as a replacement for coarse aggregate in concrete, RCA is known to effect many of the properties of concern for pavement design and construction. RCA has much higher absorption capacity than virgin aggregate, which results in increased water demand and/or decrease workability. Flexural, compressive, and tensile strengths can all be decreased, as can modulus of elasticity. Creep and shrinkage may increase, while durability can be lower. The degree of severity of these effects depends on the characteristics of the RCA, the mix design, and the amount of RCA used </w:t>
      </w:r>
      <w:r>
        <w:fldChar w:fldCharType="begin"/>
      </w:r>
      <w:r>
        <w:instrText>ADDIN RW.CITE{{doc:5e4ecac1e4b0d042028ae692 Mehta,P.K 2014}}</w:instrText>
      </w:r>
      <w:r>
        <w:fldChar w:fldCharType="separate"/>
      </w:r>
      <w:r w:rsidRPr="00AD3484">
        <w:rPr>
          <w:rFonts w:cs="Calibri"/>
        </w:rPr>
        <w:t>(Mehta and Monteiro 2014)</w:t>
      </w:r>
      <w:r>
        <w:fldChar w:fldCharType="end"/>
      </w:r>
      <w:r>
        <w:t xml:space="preserve">. Many of the studies on RCA use only 100% replacement of virgin aggregate and RCA or consider various percentages, but often skewed towards high replacement levels (50 – 100%).  However, many states lack access to sufficient material to use RCA at high replacement levels </w:t>
      </w:r>
      <w:r>
        <w:fldChar w:fldCharType="begin"/>
      </w:r>
      <w:r>
        <w:instrText>ADDIN RW.CITE{{doc:5e4c67f2e4b08f4d0a2c428e CTC&amp;AssociatesLLC 2012}}</w:instrText>
      </w:r>
      <w:r>
        <w:fldChar w:fldCharType="separate"/>
      </w:r>
      <w:r w:rsidRPr="004D6705">
        <w:rPr>
          <w:rFonts w:cs="Calibri"/>
        </w:rPr>
        <w:t>(CTC &amp; Associates LLC 2012)</w:t>
      </w:r>
      <w:r>
        <w:fldChar w:fldCharType="end"/>
      </w:r>
      <w:r>
        <w:t xml:space="preserve"> because RCA is already used as a base material.  There is therefore a need to investigate the effect of RCA use at lower replacement levels.  </w:t>
      </w:r>
    </w:p>
    <w:p w14:paraId="1B7F065C" w14:textId="0FD473BF" w:rsidR="00D62D54" w:rsidRDefault="00D62D54" w:rsidP="00D62D54"/>
    <w:p w14:paraId="741A6B49" w14:textId="6C69DECA" w:rsidR="00C82795" w:rsidRDefault="00C82795" w:rsidP="00C82795">
      <w:pPr>
        <w:pStyle w:val="Heading1"/>
      </w:pPr>
      <w:r>
        <w:t>Objectives</w:t>
      </w:r>
    </w:p>
    <w:p w14:paraId="3CE1552E" w14:textId="2B8DA5B2" w:rsidR="00C82795" w:rsidRPr="001E5030" w:rsidRDefault="00C82795" w:rsidP="00C82795">
      <w:r>
        <w:t xml:space="preserve">The goal of this research is to investigate the effect low and moderate replacement levels of coarse RCA for virgin coarse aggregate in concrete for paving applications.  Low and moderate replacement levels are most likely to be implemented because they do not require as much RCA and they may be perceived to have less risk to owners. </w:t>
      </w:r>
      <w:proofErr w:type="gramStart"/>
      <w:r>
        <w:t>Therefore</w:t>
      </w:r>
      <w:proofErr w:type="gramEnd"/>
      <w:r>
        <w:t xml:space="preserve"> it is important to understand how these replacement levels will affect the mechanical and non-mechanical properties of the concrete.  This research will investigate the effect of up to three different RCA coarse aggregate </w:t>
      </w:r>
      <w:r>
        <w:lastRenderedPageBreak/>
        <w:t xml:space="preserve">types at various low and moderate replacement levels (10-50%).  Tests conducted will measure properties that are often used in performance specifications, as given in AASHTO PP 84-19.  </w:t>
      </w:r>
    </w:p>
    <w:p w14:paraId="64691CDC" w14:textId="77777777" w:rsidR="00D62D54" w:rsidRPr="00D62D54" w:rsidRDefault="00D62D54" w:rsidP="00D62D54"/>
    <w:p w14:paraId="7B6689FE" w14:textId="6D635298" w:rsidR="00A82A7D" w:rsidRDefault="00991F77" w:rsidP="00C82795">
      <w:pPr>
        <w:pStyle w:val="Heading1"/>
      </w:pPr>
      <w:r w:rsidRPr="008522E0">
        <w:t>Benefits</w:t>
      </w:r>
    </w:p>
    <w:p w14:paraId="5131CC54" w14:textId="4B005E05" w:rsidR="001E5030" w:rsidRDefault="00945F29" w:rsidP="00464F44">
      <w:r>
        <w:t xml:space="preserve">The main benefit of this project will be </w:t>
      </w:r>
      <w:r w:rsidR="001E5030">
        <w:t xml:space="preserve">a better understanding of </w:t>
      </w:r>
      <w:r w:rsidR="0024434F">
        <w:t xml:space="preserve">how the use of recycled concrete aggregate (RCA) as a partial replacement for virgin coarse aggregate affects the properties of a concrete mix. It is known that the use of RCA can have negative impacts on concrete properties at high replacement levels, but less </w:t>
      </w:r>
      <w:r w:rsidR="00871B88">
        <w:t xml:space="preserve">is </w:t>
      </w:r>
      <w:r w:rsidR="0024434F">
        <w:t xml:space="preserve">known about how RCA affects concrete properties at lower replacement levels.  Additionally, some tests used to establish performance specifications (ex. the box test) are not well represented in the literature on RCA.  By understanding how lower levels of RCA affect concrete properties that are specifically of interest to an agency establishing a performance specification, this research will help agencies like state departments of transportation to make more informed decisions on RCA policy and pavement design.  </w:t>
      </w:r>
    </w:p>
    <w:p w14:paraId="27C8E0DE" w14:textId="156B51E7" w:rsidR="00FC6C75" w:rsidRPr="00FC6C75" w:rsidRDefault="00945F29" w:rsidP="00464F44">
      <w:r>
        <w:t xml:space="preserve">  </w:t>
      </w:r>
    </w:p>
    <w:p w14:paraId="4ABFD7AF" w14:textId="48CACD9A" w:rsidR="00F772E9" w:rsidRPr="00451862" w:rsidRDefault="00201484" w:rsidP="00464F44">
      <w:pPr>
        <w:pStyle w:val="Heading1"/>
        <w:keepNext w:val="0"/>
      </w:pPr>
      <w:r w:rsidRPr="00451862">
        <w:t xml:space="preserve">Methodology </w:t>
      </w:r>
    </w:p>
    <w:p w14:paraId="40C04DB4" w14:textId="6823D510" w:rsidR="00945F29" w:rsidRDefault="004D6834" w:rsidP="00945F29">
      <w:r>
        <w:t>This research will investigate the effect of replacing a low to moderate percentage of virgin coarse aggregate in concrete with RCA.</w:t>
      </w:r>
      <w:r w:rsidR="00945F29">
        <w:t xml:space="preserve"> Aggregates tested will include a virgin</w:t>
      </w:r>
      <w:r>
        <w:t xml:space="preserve"> coarse</w:t>
      </w:r>
      <w:r w:rsidR="00945F29">
        <w:t xml:space="preserve"> aggregate an</w:t>
      </w:r>
      <w:r w:rsidR="00B02AA1">
        <w:t>d</w:t>
      </w:r>
      <w:r w:rsidR="00945F29">
        <w:t xml:space="preserve"> </w:t>
      </w:r>
      <w:r>
        <w:t xml:space="preserve">coarse </w:t>
      </w:r>
      <w:r w:rsidR="00945F29">
        <w:t>RCA</w:t>
      </w:r>
      <w:r w:rsidR="00B02AA1">
        <w:t xml:space="preserve"> from up to three different sources.  </w:t>
      </w:r>
      <w:r w:rsidR="00945F29">
        <w:t xml:space="preserve">All aggregates will be </w:t>
      </w:r>
      <w:r>
        <w:t>obtained from local aggregate sources</w:t>
      </w:r>
      <w:r w:rsidR="00B02AA1">
        <w:t xml:space="preserve"> and </w:t>
      </w:r>
      <w:r w:rsidR="00945F29">
        <w:t>will be aggregates typically used in the production of ready-mix paving concrete</w:t>
      </w:r>
      <w:r w:rsidR="00B02AA1">
        <w:t xml:space="preserve">. </w:t>
      </w:r>
    </w:p>
    <w:p w14:paraId="3CC22606" w14:textId="6C61953D" w:rsidR="00F772E9" w:rsidRDefault="00F772E9" w:rsidP="00D14962">
      <w:pPr>
        <w:rPr>
          <w:highlight w:val="yellow"/>
        </w:rPr>
      </w:pPr>
    </w:p>
    <w:p w14:paraId="5DBCC58F" w14:textId="00180A82" w:rsidR="00945F29" w:rsidRDefault="00B02AA1" w:rsidP="00945F29">
      <w:r>
        <w:t xml:space="preserve">Properties to be measured and compared in this work are those required </w:t>
      </w:r>
      <w:r w:rsidR="00593615" w:rsidRPr="00B02AA1">
        <w:t>AASHTO PP 84-19</w:t>
      </w:r>
      <w:r>
        <w:t xml:space="preserve"> for a performance specification</w:t>
      </w:r>
      <w:r w:rsidR="00EC58B4">
        <w:t xml:space="preserve"> </w:t>
      </w:r>
      <w:r w:rsidR="00A14CB6">
        <w:fldChar w:fldCharType="begin"/>
      </w:r>
      <w:r w:rsidR="00A14CB6">
        <w:instrText>ADDIN RW.CITE{{doc:5e45bb9de4b0808ad960c6ec AASHTO 2019}}</w:instrText>
      </w:r>
      <w:r w:rsidR="00A14CB6">
        <w:fldChar w:fldCharType="separate"/>
      </w:r>
      <w:r w:rsidR="00A14CB6" w:rsidRPr="00A14CB6">
        <w:rPr>
          <w:rFonts w:cs="Calibri"/>
        </w:rPr>
        <w:t>(AASHTO 2019)</w:t>
      </w:r>
      <w:r w:rsidR="00A14CB6">
        <w:fldChar w:fldCharType="end"/>
      </w:r>
      <w:r>
        <w:t xml:space="preserve">. Tests on the fresh properties include air content </w:t>
      </w:r>
      <w:r>
        <w:fldChar w:fldCharType="begin"/>
      </w:r>
      <w:r w:rsidR="00A14CB6">
        <w:instrText>ADDIN RW.CITE{{doc:5d079a3de4b02ec5aceb3b9e ASTM 2017 /y/f C231}}</w:instrText>
      </w:r>
      <w:r>
        <w:fldChar w:fldCharType="separate"/>
      </w:r>
      <w:r w:rsidR="00A14CB6" w:rsidRPr="00A14CB6">
        <w:rPr>
          <w:rFonts w:cs="Calibri"/>
        </w:rPr>
        <w:t>(ASTM C231)</w:t>
      </w:r>
      <w:r>
        <w:fldChar w:fldCharType="end"/>
      </w:r>
      <w:r w:rsidR="00B861EA">
        <w:t xml:space="preserve">, </w:t>
      </w:r>
      <w:r w:rsidR="00316DE2">
        <w:t>SAM number</w:t>
      </w:r>
      <w:r w:rsidR="00A14CB6">
        <w:t xml:space="preserve"> </w:t>
      </w:r>
      <w:r w:rsidR="00A14CB6">
        <w:fldChar w:fldCharType="begin"/>
      </w:r>
      <w:r w:rsidR="00A14CB6">
        <w:instrText>ADDIN RW.CITE{{doc:5e45bcbfe4b0a076a71b7832 AASHTO 2017 /y/f TP 118}}</w:instrText>
      </w:r>
      <w:r w:rsidR="00A14CB6">
        <w:fldChar w:fldCharType="separate"/>
      </w:r>
      <w:r w:rsidR="00A14CB6" w:rsidRPr="00A14CB6">
        <w:rPr>
          <w:rFonts w:cs="Calibri"/>
        </w:rPr>
        <w:t>(AASHTO TP 118)</w:t>
      </w:r>
      <w:r w:rsidR="00A14CB6">
        <w:fldChar w:fldCharType="end"/>
      </w:r>
      <w:r w:rsidR="00316DE2">
        <w:t>, and the box test (AASHTO PP 84</w:t>
      </w:r>
      <w:r w:rsidR="00A14CB6">
        <w:t>-19</w:t>
      </w:r>
      <w:r w:rsidR="00316DE2">
        <w:t>, Appendix 3).</w:t>
      </w:r>
      <w:r w:rsidR="00B861EA">
        <w:t xml:space="preserve"> </w:t>
      </w:r>
      <w:r>
        <w:t xml:space="preserve"> </w:t>
      </w:r>
      <w:r w:rsidR="00316DE2">
        <w:t>Tests on hardened properties</w:t>
      </w:r>
      <w:r>
        <w:t xml:space="preserve"> include </w:t>
      </w:r>
      <w:r w:rsidR="00945F29">
        <w:t>compressive strength</w:t>
      </w:r>
      <w:r w:rsidR="00390A7E">
        <w:t xml:space="preserve"> </w:t>
      </w:r>
      <w:r w:rsidR="003F728A">
        <w:t>(ASTM C39)</w:t>
      </w:r>
      <w:r w:rsidR="00A14CB6">
        <w:t xml:space="preserve"> </w:t>
      </w:r>
      <w:r w:rsidR="00945F29">
        <w:t>and flexural strength</w:t>
      </w:r>
      <w:r w:rsidR="00A14CB6">
        <w:t xml:space="preserve"> </w:t>
      </w:r>
      <w:r w:rsidR="00A14CB6">
        <w:fldChar w:fldCharType="begin"/>
      </w:r>
      <w:r w:rsidR="00A14CB6">
        <w:instrText>ADDIN RW.CITE{{doc:5d079ac3e4b01a0431b1c4d3 ASTM 2018 /y/f C78}}</w:instrText>
      </w:r>
      <w:r w:rsidR="00A14CB6">
        <w:fldChar w:fldCharType="separate"/>
      </w:r>
      <w:r w:rsidR="00A14CB6" w:rsidRPr="00A14CB6">
        <w:rPr>
          <w:rFonts w:cs="Calibri"/>
        </w:rPr>
        <w:t>(ASTM C78)</w:t>
      </w:r>
      <w:r w:rsidR="00A14CB6">
        <w:fldChar w:fldCharType="end"/>
      </w:r>
      <w:r w:rsidR="00945F29">
        <w:t xml:space="preserve"> tested with time to determine how blending affects both ultimate strength and the rate of strength gain</w:t>
      </w:r>
      <w:r w:rsidR="00316DE2">
        <w:t xml:space="preserve">, </w:t>
      </w:r>
      <w:r w:rsidR="00945F29">
        <w:t>elastic modulus and Poisson’s ratio</w:t>
      </w:r>
      <w:r w:rsidR="00871B88">
        <w:t xml:space="preserve"> </w:t>
      </w:r>
      <w:r w:rsidR="00871B88">
        <w:fldChar w:fldCharType="begin"/>
      </w:r>
      <w:r w:rsidR="00871B88">
        <w:instrText>ADDIN RW.CITE{{doc:5d079affe4b02ec5aceb3d1e ASTM 2014 /y/f C469}}</w:instrText>
      </w:r>
      <w:r w:rsidR="00871B88">
        <w:fldChar w:fldCharType="separate"/>
      </w:r>
      <w:r w:rsidR="00871B88" w:rsidRPr="00871B88">
        <w:rPr>
          <w:rFonts w:cs="Calibri"/>
        </w:rPr>
        <w:t>(ASTM C469)</w:t>
      </w:r>
      <w:r w:rsidR="00871B88">
        <w:fldChar w:fldCharType="end"/>
      </w:r>
      <w:r w:rsidR="00871B88">
        <w:t>,</w:t>
      </w:r>
      <w:r w:rsidR="00316DE2">
        <w:t xml:space="preserve"> </w:t>
      </w:r>
      <w:r w:rsidR="00945F29">
        <w:t>coefficient of thermal expansion</w:t>
      </w:r>
      <w:r w:rsidR="004D6705">
        <w:t xml:space="preserve"> </w:t>
      </w:r>
      <w:r w:rsidR="004D6705">
        <w:fldChar w:fldCharType="begin"/>
      </w:r>
      <w:r w:rsidR="004D6705">
        <w:instrText>ADDIN RW.CITE{{doc:5d079c57e4b02ec5aceb3d56 AASHTO 2009 /y/f T336}}</w:instrText>
      </w:r>
      <w:r w:rsidR="004D6705">
        <w:fldChar w:fldCharType="separate"/>
      </w:r>
      <w:r w:rsidR="004D6705" w:rsidRPr="004D6705">
        <w:rPr>
          <w:rFonts w:cs="Calibri"/>
        </w:rPr>
        <w:t>(AASHTO T336)</w:t>
      </w:r>
      <w:r w:rsidR="004D6705">
        <w:fldChar w:fldCharType="end"/>
      </w:r>
      <w:r w:rsidR="004D6705">
        <w:t>,</w:t>
      </w:r>
      <w:r w:rsidR="00945F29">
        <w:t xml:space="preserve"> freeze thaw durability </w:t>
      </w:r>
      <w:r w:rsidR="003013B6">
        <w:fldChar w:fldCharType="begin"/>
      </w:r>
      <w:r w:rsidR="003013B6">
        <w:instrText>ADDIN RW.CITE{{doc:5d079c8fe4b0081c116af7b6 ASTM 2015 /y/f C666}}</w:instrText>
      </w:r>
      <w:r w:rsidR="003013B6">
        <w:fldChar w:fldCharType="separate"/>
      </w:r>
      <w:r w:rsidR="003013B6" w:rsidRPr="003013B6">
        <w:rPr>
          <w:rFonts w:cs="Calibri"/>
        </w:rPr>
        <w:t>(ASTM C666)</w:t>
      </w:r>
      <w:r w:rsidR="003013B6">
        <w:fldChar w:fldCharType="end"/>
      </w:r>
      <w:r w:rsidR="003013B6">
        <w:t>,</w:t>
      </w:r>
      <w:r w:rsidR="00945F29">
        <w:t xml:space="preserve"> </w:t>
      </w:r>
      <w:r w:rsidR="00035C4A">
        <w:t xml:space="preserve">surface </w:t>
      </w:r>
      <w:r w:rsidR="00316DE2">
        <w:t>resistivity</w:t>
      </w:r>
      <w:r w:rsidR="00390A7E">
        <w:t xml:space="preserve"> </w:t>
      </w:r>
      <w:r w:rsidR="0033136A">
        <w:fldChar w:fldCharType="begin"/>
      </w:r>
      <w:r w:rsidR="0033136A">
        <w:instrText>ADDIN RW.CITE{{doc:5e45bdb2e4b0a0d8bf9fae05 AASHTO [No Information] /y/f T358}}</w:instrText>
      </w:r>
      <w:r w:rsidR="0033136A">
        <w:fldChar w:fldCharType="separate"/>
      </w:r>
      <w:r w:rsidR="0033136A" w:rsidRPr="0033136A">
        <w:rPr>
          <w:rFonts w:cs="Calibri"/>
        </w:rPr>
        <w:t>(AASHTO T358)</w:t>
      </w:r>
      <w:r w:rsidR="0033136A">
        <w:fldChar w:fldCharType="end"/>
      </w:r>
      <w:r w:rsidR="00316DE2">
        <w:t xml:space="preserve">, </w:t>
      </w:r>
      <w:r w:rsidR="00A95ED3">
        <w:t xml:space="preserve">and shrinkage </w:t>
      </w:r>
      <w:r w:rsidR="00A95ED3">
        <w:fldChar w:fldCharType="begin"/>
      </w:r>
      <w:r w:rsidR="00A95ED3">
        <w:instrText>ADDIN RW.CITE{{doc:5d079caee4b0e94701241fa7 ASTM 2017 /y/f C157}}</w:instrText>
      </w:r>
      <w:r w:rsidR="00A95ED3">
        <w:fldChar w:fldCharType="separate"/>
      </w:r>
      <w:r w:rsidR="00A95ED3" w:rsidRPr="00A95ED3">
        <w:rPr>
          <w:rFonts w:cs="Calibri"/>
        </w:rPr>
        <w:t>(ASTM C157)</w:t>
      </w:r>
      <w:r w:rsidR="00A95ED3">
        <w:fldChar w:fldCharType="end"/>
      </w:r>
      <w:r w:rsidR="00945F29">
        <w:fldChar w:fldCharType="begin"/>
      </w:r>
      <w:r w:rsidR="00945F29">
        <w:instrText>ADDIN RW.CITE{{doc:5d079caee4b0e94701241fa7 ASTM 2017 /h}}</w:instrText>
      </w:r>
      <w:r w:rsidR="00945F29">
        <w:fldChar w:fldCharType="end"/>
      </w:r>
      <w:r w:rsidR="00945F29">
        <w:t xml:space="preserve">. These properties were selected because they align with the </w:t>
      </w:r>
      <w:r w:rsidR="00035C4A">
        <w:t>properties considered in the development of performance specifications and/or are properties used in pavement design per mechanistic-empirical design methods</w:t>
      </w:r>
      <w:r w:rsidR="00945F29">
        <w:t xml:space="preserve">. </w:t>
      </w:r>
    </w:p>
    <w:p w14:paraId="55958FCD" w14:textId="77777777" w:rsidR="004B35B8" w:rsidRDefault="004B35B8" w:rsidP="00945F29"/>
    <w:p w14:paraId="43170273" w14:textId="11983321" w:rsidR="00945F29" w:rsidRDefault="00945F29" w:rsidP="00945F29">
      <w:pPr>
        <w:rPr>
          <w:rFonts w:eastAsia="Times New Roman"/>
          <w:szCs w:val="24"/>
        </w:rPr>
      </w:pPr>
      <w:r w:rsidRPr="001F5CFA">
        <w:rPr>
          <w:rFonts w:eastAsia="Times New Roman"/>
          <w:color w:val="000000"/>
          <w:szCs w:val="24"/>
        </w:rPr>
        <w:t>3D Digital image correlation (DIC) will also be used to map the strain fields in the concrete during the compressive streng</w:t>
      </w:r>
      <w:r>
        <w:rPr>
          <w:rFonts w:eastAsia="Times New Roman"/>
          <w:color w:val="000000"/>
          <w:szCs w:val="24"/>
        </w:rPr>
        <w:t>th test. DIC is a non-contact,</w:t>
      </w:r>
      <w:r w:rsidRPr="001F5CFA">
        <w:rPr>
          <w:rFonts w:eastAsia="Times New Roman"/>
          <w:color w:val="000000"/>
          <w:szCs w:val="24"/>
        </w:rPr>
        <w:t xml:space="preserve"> full field optical imaging technique. </w:t>
      </w:r>
      <w:r>
        <w:rPr>
          <w:rFonts w:eastAsia="Times New Roman"/>
          <w:color w:val="000000"/>
          <w:szCs w:val="24"/>
        </w:rPr>
        <w:t xml:space="preserve">A speckle pattern </w:t>
      </w:r>
      <w:r w:rsidRPr="001F5CFA">
        <w:rPr>
          <w:rFonts w:eastAsia="Times New Roman"/>
          <w:color w:val="000000"/>
          <w:szCs w:val="24"/>
        </w:rPr>
        <w:t>applied to a surface</w:t>
      </w:r>
      <w:r>
        <w:rPr>
          <w:rFonts w:eastAsia="Times New Roman"/>
          <w:color w:val="000000"/>
          <w:szCs w:val="24"/>
        </w:rPr>
        <w:t xml:space="preserve"> of the concrete is</w:t>
      </w:r>
      <w:r w:rsidRPr="001F5CFA">
        <w:rPr>
          <w:rFonts w:eastAsia="Times New Roman"/>
          <w:color w:val="000000"/>
          <w:szCs w:val="24"/>
        </w:rPr>
        <w:t xml:space="preserve"> photographed using high speed cameras during loading</w:t>
      </w:r>
      <w:r>
        <w:rPr>
          <w:rFonts w:eastAsia="Times New Roman"/>
          <w:color w:val="000000"/>
          <w:szCs w:val="24"/>
        </w:rPr>
        <w:t>.</w:t>
      </w:r>
      <w:r w:rsidRPr="001F5CFA">
        <w:rPr>
          <w:rFonts w:eastAsia="Times New Roman"/>
          <w:color w:val="000000"/>
          <w:szCs w:val="24"/>
        </w:rPr>
        <w:t xml:space="preserve"> </w:t>
      </w:r>
      <w:r>
        <w:rPr>
          <w:rFonts w:eastAsia="Times New Roman"/>
          <w:color w:val="000000"/>
          <w:szCs w:val="24"/>
        </w:rPr>
        <w:t>S</w:t>
      </w:r>
      <w:r w:rsidRPr="001F5CFA">
        <w:rPr>
          <w:rFonts w:eastAsia="Times New Roman"/>
          <w:color w:val="000000"/>
          <w:szCs w:val="24"/>
        </w:rPr>
        <w:t>oftware tracks the displacements recorded in the images to provide measurements of displacements</w:t>
      </w:r>
      <w:r>
        <w:rPr>
          <w:rFonts w:eastAsia="Times New Roman"/>
          <w:color w:val="000000"/>
          <w:szCs w:val="24"/>
        </w:rPr>
        <w:t xml:space="preserve">. A </w:t>
      </w:r>
      <w:r w:rsidRPr="001F5CFA">
        <w:rPr>
          <w:rFonts w:eastAsia="Times New Roman"/>
          <w:color w:val="000000"/>
          <w:szCs w:val="24"/>
        </w:rPr>
        <w:t>surface is fit across this field of displacement from which strains are</w:t>
      </w:r>
      <w:r>
        <w:rPr>
          <w:rFonts w:eastAsia="Times New Roman"/>
          <w:color w:val="000000"/>
          <w:szCs w:val="24"/>
        </w:rPr>
        <w:t xml:space="preserve"> then</w:t>
      </w:r>
      <w:r w:rsidRPr="001F5CFA">
        <w:rPr>
          <w:rFonts w:eastAsia="Times New Roman"/>
          <w:color w:val="000000"/>
          <w:szCs w:val="24"/>
        </w:rPr>
        <w:t xml:space="preserve"> approximated. The software is capable of analyzing in-plane strains on planar or three-dimensional (e.g. curved) surfaces.</w:t>
      </w:r>
      <w:r>
        <w:rPr>
          <w:rFonts w:eastAsia="Times New Roman"/>
          <w:color w:val="000000"/>
          <w:szCs w:val="24"/>
        </w:rPr>
        <w:t xml:space="preserve"> </w:t>
      </w:r>
      <w:r w:rsidRPr="001F5CFA">
        <w:rPr>
          <w:rFonts w:eastAsia="Times New Roman"/>
          <w:szCs w:val="24"/>
        </w:rPr>
        <w:t>In th</w:t>
      </w:r>
      <w:r>
        <w:rPr>
          <w:rFonts w:eastAsia="Times New Roman"/>
          <w:szCs w:val="24"/>
        </w:rPr>
        <w:t xml:space="preserve">e proposed </w:t>
      </w:r>
      <w:r w:rsidRPr="001F5CFA">
        <w:rPr>
          <w:rFonts w:eastAsia="Times New Roman"/>
          <w:szCs w:val="24"/>
        </w:rPr>
        <w:t>work</w:t>
      </w:r>
      <w:r>
        <w:rPr>
          <w:rFonts w:eastAsia="Times New Roman"/>
          <w:szCs w:val="24"/>
        </w:rPr>
        <w:t>, DIC will be used</w:t>
      </w:r>
      <w:r w:rsidRPr="001F5CFA">
        <w:rPr>
          <w:rFonts w:eastAsia="Times New Roman"/>
          <w:szCs w:val="24"/>
        </w:rPr>
        <w:t xml:space="preserve"> to examine changes in the global field </w:t>
      </w:r>
      <w:r>
        <w:rPr>
          <w:rFonts w:eastAsia="Times New Roman"/>
          <w:szCs w:val="24"/>
        </w:rPr>
        <w:t>(including m</w:t>
      </w:r>
      <w:r w:rsidRPr="001F5CFA">
        <w:rPr>
          <w:rFonts w:eastAsia="Times New Roman"/>
          <w:szCs w:val="24"/>
        </w:rPr>
        <w:t>ean values, standard deviations, etc</w:t>
      </w:r>
      <w:r>
        <w:rPr>
          <w:rFonts w:eastAsia="Times New Roman"/>
          <w:szCs w:val="24"/>
        </w:rPr>
        <w:t xml:space="preserve">.) </w:t>
      </w:r>
      <w:r w:rsidRPr="001F5CFA">
        <w:rPr>
          <w:rFonts w:eastAsia="Times New Roman"/>
          <w:szCs w:val="24"/>
        </w:rPr>
        <w:t xml:space="preserve">due to the </w:t>
      </w:r>
      <w:r>
        <w:rPr>
          <w:rFonts w:eastAsia="Times New Roman"/>
          <w:szCs w:val="24"/>
        </w:rPr>
        <w:t xml:space="preserve">use of </w:t>
      </w:r>
      <w:r w:rsidR="001B3D24">
        <w:rPr>
          <w:rFonts w:eastAsia="Times New Roman"/>
          <w:szCs w:val="24"/>
        </w:rPr>
        <w:t>different RCA levels</w:t>
      </w:r>
      <w:r>
        <w:rPr>
          <w:rFonts w:eastAsia="Times New Roman"/>
          <w:szCs w:val="24"/>
        </w:rPr>
        <w:t>. A</w:t>
      </w:r>
      <w:r w:rsidRPr="001F5CFA">
        <w:rPr>
          <w:rFonts w:eastAsia="Times New Roman"/>
          <w:szCs w:val="24"/>
        </w:rPr>
        <w:t>ddition</w:t>
      </w:r>
      <w:r>
        <w:rPr>
          <w:rFonts w:eastAsia="Times New Roman"/>
          <w:szCs w:val="24"/>
        </w:rPr>
        <w:t>ally,</w:t>
      </w:r>
      <w:r w:rsidRPr="001F5CFA">
        <w:rPr>
          <w:rFonts w:eastAsia="Times New Roman"/>
          <w:szCs w:val="24"/>
        </w:rPr>
        <w:t xml:space="preserve"> the strain field at specific regions can be measured during post processing to track strains across specific linear paths. Strain fields measured just prior to </w:t>
      </w:r>
      <w:r w:rsidRPr="001F5CFA">
        <w:rPr>
          <w:rFonts w:eastAsia="Times New Roman"/>
          <w:szCs w:val="24"/>
        </w:rPr>
        <w:lastRenderedPageBreak/>
        <w:t>fracture will also be studied to help understand microstructural effects</w:t>
      </w:r>
      <w:r>
        <w:rPr>
          <w:rFonts w:eastAsia="Times New Roman"/>
          <w:szCs w:val="24"/>
        </w:rPr>
        <w:t xml:space="preserve"> of using different </w:t>
      </w:r>
      <w:r w:rsidR="001B3D24">
        <w:rPr>
          <w:rFonts w:eastAsia="Times New Roman"/>
          <w:szCs w:val="24"/>
        </w:rPr>
        <w:t>RCA levels</w:t>
      </w:r>
      <w:r w:rsidRPr="001F5CFA">
        <w:rPr>
          <w:rFonts w:eastAsia="Times New Roman"/>
          <w:szCs w:val="24"/>
        </w:rPr>
        <w:t>.</w:t>
      </w:r>
    </w:p>
    <w:p w14:paraId="30C82766" w14:textId="77777777" w:rsidR="004B35B8" w:rsidRDefault="004B35B8" w:rsidP="00945F29"/>
    <w:p w14:paraId="2ECF28CF" w14:textId="68527067" w:rsidR="00451862" w:rsidRDefault="00945F29" w:rsidP="004B35B8">
      <w:pPr>
        <w:spacing w:after="120"/>
      </w:pPr>
      <w:r>
        <w:t xml:space="preserve">Once testing is complete, the results of each test will be compared </w:t>
      </w:r>
      <w:r w:rsidR="00B02AA1">
        <w:t>to RCA replacement level</w:t>
      </w:r>
      <w:r>
        <w:t xml:space="preserve">. Plots can be generated to show if/how each property investigated varies with the percent </w:t>
      </w:r>
      <w:r w:rsidR="00B02AA1">
        <w:t xml:space="preserve">of </w:t>
      </w:r>
      <w:r>
        <w:t xml:space="preserve">RCA. </w:t>
      </w:r>
      <w:r w:rsidR="00B02AA1">
        <w:t xml:space="preserve">A statistical analysis will be conducted to determine the significance of the results.  </w:t>
      </w:r>
      <w:r>
        <w:t xml:space="preserve">  </w:t>
      </w:r>
    </w:p>
    <w:p w14:paraId="3DAF058C" w14:textId="639D0B37" w:rsidR="00030ADD" w:rsidRDefault="00030ADD" w:rsidP="004B35B8">
      <w:pPr>
        <w:spacing w:after="120"/>
      </w:pPr>
    </w:p>
    <w:p w14:paraId="5A53CBCE" w14:textId="0AE9C744" w:rsidR="00030ADD" w:rsidRPr="00030ADD" w:rsidRDefault="00F772E9" w:rsidP="003B751E">
      <w:pPr>
        <w:pStyle w:val="Heading1"/>
        <w:keepNext w:val="0"/>
      </w:pPr>
      <w:r w:rsidRPr="00451862">
        <w:t>Task Descriptio</w:t>
      </w:r>
      <w:r w:rsidR="002B117A" w:rsidRPr="00451862">
        <w:t>ns</w:t>
      </w:r>
    </w:p>
    <w:p w14:paraId="0AEF42D0" w14:textId="77777777" w:rsidR="003B751E" w:rsidRDefault="003B751E" w:rsidP="00464F44">
      <w:pPr>
        <w:keepLines/>
      </w:pPr>
    </w:p>
    <w:p w14:paraId="0235DD0A" w14:textId="19F6F933" w:rsidR="00232227" w:rsidRPr="003B751E" w:rsidRDefault="00450817" w:rsidP="00464F44">
      <w:pPr>
        <w:keepLines/>
        <w:rPr>
          <w:i/>
          <w:iCs/>
        </w:rPr>
      </w:pPr>
      <w:r w:rsidRPr="003B751E">
        <w:rPr>
          <w:i/>
          <w:iCs/>
        </w:rPr>
        <w:t xml:space="preserve">Task 1: </w:t>
      </w:r>
      <w:r w:rsidR="00232227" w:rsidRPr="003B751E">
        <w:rPr>
          <w:i/>
          <w:iCs/>
        </w:rPr>
        <w:t xml:space="preserve">Initial Memorandum on </w:t>
      </w:r>
      <w:r w:rsidR="00C8032B" w:rsidRPr="003B751E">
        <w:rPr>
          <w:i/>
          <w:iCs/>
        </w:rPr>
        <w:t xml:space="preserve">Expected </w:t>
      </w:r>
      <w:r w:rsidR="00232227" w:rsidRPr="003B751E">
        <w:rPr>
          <w:i/>
          <w:iCs/>
        </w:rPr>
        <w:t xml:space="preserve">Research Benefits and </w:t>
      </w:r>
      <w:r w:rsidR="00C8032B" w:rsidRPr="003B751E">
        <w:rPr>
          <w:i/>
          <w:iCs/>
        </w:rPr>
        <w:t xml:space="preserve">Potential </w:t>
      </w:r>
      <w:r w:rsidR="00232227" w:rsidRPr="003B751E">
        <w:rPr>
          <w:i/>
          <w:iCs/>
        </w:rPr>
        <w:t xml:space="preserve">Implementation Steps </w:t>
      </w:r>
    </w:p>
    <w:p w14:paraId="676D7FC7" w14:textId="77777777" w:rsidR="00D039EC" w:rsidRPr="00030ADD" w:rsidRDefault="00232227" w:rsidP="00464F44">
      <w:pPr>
        <w:keepLines/>
      </w:pPr>
      <w:r w:rsidRPr="00030ADD">
        <w:t xml:space="preserve">Description: </w:t>
      </w:r>
      <w:r w:rsidR="00A13033" w:rsidRPr="00030ADD">
        <w:t>During the proposal phase and the development of the work plan, key benefits were selected to clearly define the benefits the state will receive from the results and conclusions of this research. This task will provide an initial assessment of research benefits, a proposed methodology, and potential implementation steps.</w:t>
      </w:r>
    </w:p>
    <w:p w14:paraId="3A41D17C" w14:textId="77777777" w:rsidR="000658F9" w:rsidRPr="00451862" w:rsidRDefault="00232227" w:rsidP="00464F44">
      <w:pPr>
        <w:keepLines/>
      </w:pPr>
      <w:r w:rsidRPr="00030ADD">
        <w:t xml:space="preserve">Deliverable: </w:t>
      </w:r>
      <w:r w:rsidR="00A13033" w:rsidRPr="00451862">
        <w:t>A memorandum providing initial estimates of expected research benefits, documentation of the methodology, and potential implementation steps.</w:t>
      </w:r>
    </w:p>
    <w:p w14:paraId="54E7706F" w14:textId="77777777" w:rsidR="003B751E" w:rsidRDefault="003B751E" w:rsidP="00464F44">
      <w:pPr>
        <w:keepLines/>
      </w:pPr>
    </w:p>
    <w:p w14:paraId="607B2C94" w14:textId="783FB007" w:rsidR="00450817" w:rsidRPr="003B751E" w:rsidRDefault="00DF6954" w:rsidP="00464F44">
      <w:pPr>
        <w:keepLines/>
        <w:rPr>
          <w:i/>
          <w:iCs/>
        </w:rPr>
      </w:pPr>
      <w:r w:rsidRPr="003B751E">
        <w:rPr>
          <w:i/>
          <w:iCs/>
        </w:rPr>
        <w:t xml:space="preserve">Task </w:t>
      </w:r>
      <w:r w:rsidR="00450817" w:rsidRPr="003B751E">
        <w:rPr>
          <w:i/>
          <w:iCs/>
        </w:rPr>
        <w:t xml:space="preserve">2: </w:t>
      </w:r>
      <w:r w:rsidR="004B35B8" w:rsidRPr="003B751E">
        <w:rPr>
          <w:i/>
          <w:iCs/>
        </w:rPr>
        <w:t>Literature Review</w:t>
      </w:r>
    </w:p>
    <w:p w14:paraId="706A2073" w14:textId="28CF4B93" w:rsidR="00C845CB" w:rsidRPr="00451862" w:rsidRDefault="00C845CB" w:rsidP="00464F44">
      <w:pPr>
        <w:keepLines/>
      </w:pPr>
      <w:r w:rsidRPr="00451862">
        <w:t xml:space="preserve">Description: </w:t>
      </w:r>
      <w:r w:rsidR="004B35B8">
        <w:t>Conduct a complete review of the literature to better understand the state of the art related to using recycled aggregates</w:t>
      </w:r>
      <w:r w:rsidR="001B3D24">
        <w:t xml:space="preserve"> and identify gaps in research associated with testing RCA at lower replacement levels and the effects of RCA on properties commonly used in performance specifications</w:t>
      </w:r>
      <w:r w:rsidR="00035C4A">
        <w:t xml:space="preserve"> </w:t>
      </w:r>
      <w:r w:rsidR="00030ADD">
        <w:t>and/or</w:t>
      </w:r>
      <w:r w:rsidR="00035C4A">
        <w:t xml:space="preserve"> pavement design</w:t>
      </w:r>
      <w:r w:rsidR="001B3D24">
        <w:t xml:space="preserve">.  </w:t>
      </w:r>
    </w:p>
    <w:p w14:paraId="7D9DCE6C" w14:textId="4B862DF9" w:rsidR="00C845CB" w:rsidRPr="00451862" w:rsidRDefault="00C845CB" w:rsidP="00464F44">
      <w:pPr>
        <w:keepLines/>
      </w:pPr>
      <w:r w:rsidRPr="00451862">
        <w:t xml:space="preserve">Deliverable: </w:t>
      </w:r>
      <w:r w:rsidR="004B35B8">
        <w:t>Literature review</w:t>
      </w:r>
    </w:p>
    <w:p w14:paraId="46AE6CF8" w14:textId="77777777" w:rsidR="003B751E" w:rsidRDefault="003B751E" w:rsidP="00D14962"/>
    <w:p w14:paraId="1BD140E8" w14:textId="6D084F57" w:rsidR="00D24A71" w:rsidRPr="003B751E" w:rsidRDefault="00D24A71" w:rsidP="00D14962">
      <w:pPr>
        <w:rPr>
          <w:i/>
          <w:iCs/>
        </w:rPr>
      </w:pPr>
      <w:r w:rsidRPr="003B751E">
        <w:rPr>
          <w:i/>
          <w:iCs/>
        </w:rPr>
        <w:t xml:space="preserve">Task </w:t>
      </w:r>
      <w:r w:rsidR="00784F38" w:rsidRPr="003B751E">
        <w:rPr>
          <w:i/>
          <w:iCs/>
        </w:rPr>
        <w:t>3</w:t>
      </w:r>
      <w:r w:rsidRPr="003B751E">
        <w:rPr>
          <w:i/>
          <w:iCs/>
        </w:rPr>
        <w:t xml:space="preserve">: </w:t>
      </w:r>
      <w:r w:rsidR="004B35B8" w:rsidRPr="003B751E">
        <w:rPr>
          <w:i/>
          <w:iCs/>
        </w:rPr>
        <w:t>Materials Acquisition and Mix Design Development</w:t>
      </w:r>
    </w:p>
    <w:p w14:paraId="45B3B7D5" w14:textId="66FD9F3E" w:rsidR="00D24A71" w:rsidRDefault="00D24A71" w:rsidP="00D14962">
      <w:r w:rsidRPr="00451862">
        <w:t xml:space="preserve">Description: </w:t>
      </w:r>
      <w:r w:rsidR="004B35B8">
        <w:t xml:space="preserve">Acquire materials required for the project (recycled aggregate, </w:t>
      </w:r>
      <w:r w:rsidR="001B3D24">
        <w:t>control aggregate</w:t>
      </w:r>
      <w:r w:rsidR="004B35B8">
        <w:t>, cement, admixtures, etc.</w:t>
      </w:r>
      <w:r w:rsidR="001B3D24">
        <w:t>)</w:t>
      </w:r>
      <w:r w:rsidR="004B35B8">
        <w:t xml:space="preserve">  Based on information from the literature review in Task 2, develop mix designs that can be used for testing.</w:t>
      </w:r>
      <w:r w:rsidR="00FA4004">
        <w:t xml:space="preserve">  This will require the following testing to characterize the aggregates: </w:t>
      </w:r>
    </w:p>
    <w:p w14:paraId="0CA53674" w14:textId="22F8F067" w:rsidR="00FA4004" w:rsidRDefault="00FA4004" w:rsidP="00FA4004">
      <w:pPr>
        <w:pStyle w:val="ListParagraph"/>
        <w:numPr>
          <w:ilvl w:val="0"/>
          <w:numId w:val="8"/>
        </w:numPr>
      </w:pPr>
      <w:r>
        <w:t>Gradation</w:t>
      </w:r>
      <w:r w:rsidR="00030ADD">
        <w:t xml:space="preserve"> </w:t>
      </w:r>
      <w:r w:rsidR="00030ADD">
        <w:fldChar w:fldCharType="begin"/>
      </w:r>
      <w:r w:rsidR="005C6A1E">
        <w:instrText>ADDIN RW.CITE{{doc:5d0798a0e4b00b185e36f098 ASTM 2014 /y/f C136}}</w:instrText>
      </w:r>
      <w:r w:rsidR="00030ADD">
        <w:fldChar w:fldCharType="separate"/>
      </w:r>
      <w:r w:rsidR="005C6A1E" w:rsidRPr="005C6A1E">
        <w:rPr>
          <w:rFonts w:cs="Calibri"/>
        </w:rPr>
        <w:t>(ASTM C136)</w:t>
      </w:r>
      <w:r w:rsidR="00030ADD">
        <w:fldChar w:fldCharType="end"/>
      </w:r>
    </w:p>
    <w:p w14:paraId="4733FDE8" w14:textId="776D7731" w:rsidR="00FA4004" w:rsidRDefault="00FA4004" w:rsidP="00FA4004">
      <w:pPr>
        <w:pStyle w:val="ListParagraph"/>
        <w:numPr>
          <w:ilvl w:val="0"/>
          <w:numId w:val="8"/>
        </w:numPr>
      </w:pPr>
      <w:r>
        <w:t>Specific gravity and absorption</w:t>
      </w:r>
      <w:r w:rsidR="005C6A1E">
        <w:t xml:space="preserve"> </w:t>
      </w:r>
      <w:r w:rsidR="005C6A1E">
        <w:fldChar w:fldCharType="begin"/>
      </w:r>
      <w:r w:rsidR="005C6A1E">
        <w:instrText>ADDIN RW.CITE{{doc:5d0798dee4b08880a90eef2c ASTM 2015 /y/f C127}}</w:instrText>
      </w:r>
      <w:r w:rsidR="005C6A1E">
        <w:fldChar w:fldCharType="separate"/>
      </w:r>
      <w:r w:rsidR="005C6A1E" w:rsidRPr="005C6A1E">
        <w:rPr>
          <w:rFonts w:cs="Calibri"/>
        </w:rPr>
        <w:t>(ASTM C127)</w:t>
      </w:r>
      <w:r w:rsidR="005C6A1E">
        <w:fldChar w:fldCharType="end"/>
      </w:r>
    </w:p>
    <w:p w14:paraId="5BFF4B39" w14:textId="48D6BD3B" w:rsidR="00FA4004" w:rsidRPr="00451862" w:rsidRDefault="00FA4004" w:rsidP="00FA4004">
      <w:pPr>
        <w:pStyle w:val="ListParagraph"/>
        <w:numPr>
          <w:ilvl w:val="0"/>
          <w:numId w:val="8"/>
        </w:numPr>
      </w:pPr>
      <w:r>
        <w:t xml:space="preserve">Moisture content </w:t>
      </w:r>
      <w:r w:rsidR="00EC58B4">
        <w:fldChar w:fldCharType="begin"/>
      </w:r>
      <w:r w:rsidR="00EC58B4">
        <w:instrText>ADDIN RW.CITE{{doc:5e45b95be4b0ac3a48d05ab9 ASTM 2019 /y/f D2216}}</w:instrText>
      </w:r>
      <w:r w:rsidR="00EC58B4">
        <w:fldChar w:fldCharType="separate"/>
      </w:r>
      <w:r w:rsidR="00EC58B4" w:rsidRPr="00EC58B4">
        <w:rPr>
          <w:rFonts w:cs="Calibri"/>
        </w:rPr>
        <w:t>(ASTM D2216)</w:t>
      </w:r>
      <w:r w:rsidR="00EC58B4">
        <w:fldChar w:fldCharType="end"/>
      </w:r>
    </w:p>
    <w:p w14:paraId="4FF1CE83" w14:textId="483B53C0" w:rsidR="00D24A71" w:rsidRPr="00451862" w:rsidRDefault="00D24A71" w:rsidP="00D14962">
      <w:r w:rsidRPr="00451862">
        <w:t xml:space="preserve">Deliverable: </w:t>
      </w:r>
      <w:r w:rsidR="004B35B8">
        <w:t>finalized mix designs</w:t>
      </w:r>
    </w:p>
    <w:p w14:paraId="0B2E7C6D" w14:textId="77777777" w:rsidR="003B751E" w:rsidRDefault="003B751E" w:rsidP="00D14962"/>
    <w:p w14:paraId="4572CB3E" w14:textId="3D6D11D4" w:rsidR="00D24A71" w:rsidRPr="006E706C" w:rsidRDefault="00D24A71" w:rsidP="00D14962">
      <w:pPr>
        <w:rPr>
          <w:i/>
          <w:iCs/>
        </w:rPr>
      </w:pPr>
      <w:r w:rsidRPr="006E706C">
        <w:rPr>
          <w:i/>
          <w:iCs/>
        </w:rPr>
        <w:t xml:space="preserve">Task </w:t>
      </w:r>
      <w:r w:rsidR="006E706C" w:rsidRPr="006E706C">
        <w:rPr>
          <w:i/>
          <w:iCs/>
        </w:rPr>
        <w:t>4</w:t>
      </w:r>
      <w:r w:rsidRPr="006E706C">
        <w:rPr>
          <w:i/>
          <w:iCs/>
        </w:rPr>
        <w:t xml:space="preserve">: </w:t>
      </w:r>
      <w:r w:rsidR="004B35B8" w:rsidRPr="006E706C">
        <w:rPr>
          <w:i/>
          <w:iCs/>
        </w:rPr>
        <w:t>Concrete Mixing and Testing</w:t>
      </w:r>
    </w:p>
    <w:p w14:paraId="5FEBEB3A" w14:textId="3FAC297F" w:rsidR="00D24A71" w:rsidRDefault="004B35B8" w:rsidP="00D14962">
      <w:r>
        <w:t>Description: Using the finalized mix designs developed in Task 3, cast test specimens and conduct testing</w:t>
      </w:r>
    </w:p>
    <w:p w14:paraId="4AC0B943" w14:textId="6ECD1F53" w:rsidR="004B35B8" w:rsidRDefault="004B35B8" w:rsidP="00D14962">
      <w:r>
        <w:t>Fresh tests:</w:t>
      </w:r>
    </w:p>
    <w:p w14:paraId="4E379D40" w14:textId="75A02AAB" w:rsidR="004B35B8" w:rsidRDefault="00FA4004" w:rsidP="004B35B8">
      <w:pPr>
        <w:pStyle w:val="ListParagraph"/>
        <w:numPr>
          <w:ilvl w:val="0"/>
          <w:numId w:val="7"/>
        </w:numPr>
      </w:pPr>
      <w:r>
        <w:t>Air content</w:t>
      </w:r>
    </w:p>
    <w:p w14:paraId="1C91E4B9" w14:textId="05830233" w:rsidR="001B3D24" w:rsidRDefault="001B3D24" w:rsidP="004B35B8">
      <w:pPr>
        <w:pStyle w:val="ListParagraph"/>
        <w:numPr>
          <w:ilvl w:val="0"/>
          <w:numId w:val="7"/>
        </w:numPr>
      </w:pPr>
      <w:r>
        <w:t>SAM number</w:t>
      </w:r>
    </w:p>
    <w:p w14:paraId="0EBD105E" w14:textId="5412F079" w:rsidR="00FA4004" w:rsidRDefault="001B3D24" w:rsidP="004B35B8">
      <w:pPr>
        <w:pStyle w:val="ListParagraph"/>
        <w:numPr>
          <w:ilvl w:val="0"/>
          <w:numId w:val="7"/>
        </w:numPr>
      </w:pPr>
      <w:r>
        <w:t>Box test</w:t>
      </w:r>
    </w:p>
    <w:p w14:paraId="1BEE449A" w14:textId="2C065F01" w:rsidR="00FA4004" w:rsidRDefault="00FA4004" w:rsidP="00FA4004">
      <w:r>
        <w:t>Hardened tests:</w:t>
      </w:r>
    </w:p>
    <w:p w14:paraId="0B777AE4" w14:textId="21DFAE45" w:rsidR="00FA4004" w:rsidRDefault="00FA4004" w:rsidP="00FA4004">
      <w:pPr>
        <w:pStyle w:val="ListParagraph"/>
        <w:numPr>
          <w:ilvl w:val="0"/>
          <w:numId w:val="9"/>
        </w:numPr>
      </w:pPr>
      <w:r>
        <w:t>Compressive strength gain</w:t>
      </w:r>
    </w:p>
    <w:p w14:paraId="1D2D4ACF" w14:textId="0B131E72" w:rsidR="00FA4004" w:rsidRDefault="00FA4004" w:rsidP="00FA4004">
      <w:pPr>
        <w:pStyle w:val="ListParagraph"/>
        <w:numPr>
          <w:ilvl w:val="0"/>
          <w:numId w:val="9"/>
        </w:numPr>
      </w:pPr>
      <w:r>
        <w:t>Flexural strength gain</w:t>
      </w:r>
    </w:p>
    <w:p w14:paraId="7783BE06" w14:textId="45C77151" w:rsidR="00FA4004" w:rsidRDefault="00FA4004" w:rsidP="00FA4004">
      <w:pPr>
        <w:pStyle w:val="ListParagraph"/>
        <w:numPr>
          <w:ilvl w:val="0"/>
          <w:numId w:val="9"/>
        </w:numPr>
      </w:pPr>
      <w:r>
        <w:t>Elastic modulus and Poisson’s ratio</w:t>
      </w:r>
    </w:p>
    <w:p w14:paraId="0F52FC1B" w14:textId="5D2A3095" w:rsidR="00FA4004" w:rsidRDefault="00FA4004" w:rsidP="00FA4004">
      <w:pPr>
        <w:pStyle w:val="ListParagraph"/>
        <w:numPr>
          <w:ilvl w:val="0"/>
          <w:numId w:val="9"/>
        </w:numPr>
      </w:pPr>
      <w:r>
        <w:lastRenderedPageBreak/>
        <w:t>Coefficient of thermal expansion</w:t>
      </w:r>
    </w:p>
    <w:p w14:paraId="02F3E9BA" w14:textId="6B79DB64" w:rsidR="001B3D24" w:rsidRDefault="00035C4A" w:rsidP="00FA4004">
      <w:pPr>
        <w:pStyle w:val="ListParagraph"/>
        <w:numPr>
          <w:ilvl w:val="0"/>
          <w:numId w:val="9"/>
        </w:numPr>
      </w:pPr>
      <w:r>
        <w:t>Surface r</w:t>
      </w:r>
      <w:r w:rsidR="001B3D24">
        <w:t>esistivity</w:t>
      </w:r>
    </w:p>
    <w:p w14:paraId="3696BC77" w14:textId="0DF82018" w:rsidR="00FA4004" w:rsidRDefault="00FA4004" w:rsidP="00FA4004">
      <w:pPr>
        <w:pStyle w:val="ListParagraph"/>
        <w:numPr>
          <w:ilvl w:val="0"/>
          <w:numId w:val="9"/>
        </w:numPr>
      </w:pPr>
      <w:r>
        <w:t>Shrinkage</w:t>
      </w:r>
    </w:p>
    <w:p w14:paraId="6B641533" w14:textId="6B269E6D" w:rsidR="00FA4004" w:rsidRDefault="00FA4004" w:rsidP="00FA4004">
      <w:pPr>
        <w:pStyle w:val="ListParagraph"/>
        <w:numPr>
          <w:ilvl w:val="0"/>
          <w:numId w:val="9"/>
        </w:numPr>
      </w:pPr>
      <w:r>
        <w:t>Freeze-thaw durability</w:t>
      </w:r>
    </w:p>
    <w:p w14:paraId="4398B582" w14:textId="19AD4819" w:rsidR="00FA4004" w:rsidRPr="00451862" w:rsidRDefault="00FA4004" w:rsidP="00FA4004">
      <w:pPr>
        <w:pStyle w:val="ListParagraph"/>
        <w:numPr>
          <w:ilvl w:val="0"/>
          <w:numId w:val="9"/>
        </w:numPr>
      </w:pPr>
      <w:r>
        <w:t>Digital image correlation</w:t>
      </w:r>
    </w:p>
    <w:p w14:paraId="20EE4A49" w14:textId="77777777" w:rsidR="006E706C" w:rsidRDefault="00D24A71" w:rsidP="006E706C">
      <w:r w:rsidRPr="00451862">
        <w:t xml:space="preserve">Deliverable: </w:t>
      </w:r>
      <w:r w:rsidR="00FA4004">
        <w:t xml:space="preserve">test results </w:t>
      </w:r>
    </w:p>
    <w:p w14:paraId="77BD1F5E" w14:textId="77777777" w:rsidR="006E706C" w:rsidRDefault="006E706C" w:rsidP="006E706C"/>
    <w:p w14:paraId="70EF72E6" w14:textId="70A4A78F" w:rsidR="00784F38" w:rsidRPr="006E706C" w:rsidRDefault="00784F38" w:rsidP="006E706C">
      <w:r w:rsidRPr="006E706C">
        <w:rPr>
          <w:i/>
          <w:iCs/>
        </w:rPr>
        <w:t xml:space="preserve">Task </w:t>
      </w:r>
      <w:r w:rsidR="006E706C" w:rsidRPr="006E706C">
        <w:rPr>
          <w:i/>
          <w:iCs/>
        </w:rPr>
        <w:t>5</w:t>
      </w:r>
      <w:r w:rsidRPr="006E706C">
        <w:rPr>
          <w:i/>
          <w:iCs/>
        </w:rPr>
        <w:t xml:space="preserve">: </w:t>
      </w:r>
      <w:r w:rsidR="00FA4004" w:rsidRPr="006E706C">
        <w:rPr>
          <w:i/>
          <w:iCs/>
        </w:rPr>
        <w:t>Data Analysis</w:t>
      </w:r>
    </w:p>
    <w:p w14:paraId="2D17D7DE" w14:textId="755CC9D6" w:rsidR="00784F38" w:rsidRPr="00451862" w:rsidRDefault="00784F38" w:rsidP="00D14962">
      <w:r w:rsidRPr="00451862">
        <w:t xml:space="preserve">Description: </w:t>
      </w:r>
      <w:r w:rsidR="00FA4004">
        <w:t xml:space="preserve">Compare test results for all mixes to determine the effects of </w:t>
      </w:r>
      <w:r w:rsidR="001B3D24">
        <w:t>using different RCA replacement levels.  A statistical analysis wi</w:t>
      </w:r>
      <w:r w:rsidR="00B02AA1">
        <w:t xml:space="preserve">ll be conducted to determine the significance of the results.  </w:t>
      </w:r>
      <w:r w:rsidR="00FA4004">
        <w:t xml:space="preserve"> </w:t>
      </w:r>
    </w:p>
    <w:p w14:paraId="0C04C554" w14:textId="59D70EDE" w:rsidR="00784F38" w:rsidRPr="00451862" w:rsidRDefault="00784F38" w:rsidP="00D14962">
      <w:r w:rsidRPr="00451862">
        <w:t xml:space="preserve">Deliverable: </w:t>
      </w:r>
      <w:r w:rsidR="00CE024C">
        <w:t>draft memo of results</w:t>
      </w:r>
    </w:p>
    <w:p w14:paraId="72396675" w14:textId="77777777" w:rsidR="006E706C" w:rsidRDefault="006E706C" w:rsidP="00D14962"/>
    <w:p w14:paraId="5EA8549C" w14:textId="65F7E5D7" w:rsidR="00AD683F" w:rsidRPr="00FC050F" w:rsidRDefault="00AD683F" w:rsidP="00D14962">
      <w:pPr>
        <w:rPr>
          <w:i/>
          <w:iCs/>
        </w:rPr>
      </w:pPr>
      <w:r w:rsidRPr="00FC050F">
        <w:rPr>
          <w:i/>
          <w:iCs/>
        </w:rPr>
        <w:t>T</w:t>
      </w:r>
      <w:r w:rsidR="00CE024C" w:rsidRPr="00FC050F">
        <w:rPr>
          <w:i/>
          <w:iCs/>
        </w:rPr>
        <w:t>ask 6</w:t>
      </w:r>
      <w:r w:rsidRPr="00FC050F">
        <w:rPr>
          <w:i/>
          <w:iCs/>
        </w:rPr>
        <w:t>:</w:t>
      </w:r>
      <w:r w:rsidRPr="00FC050F">
        <w:rPr>
          <w:b/>
          <w:i/>
          <w:iCs/>
        </w:rPr>
        <w:t xml:space="preserve"> </w:t>
      </w:r>
      <w:r w:rsidRPr="00FC050F">
        <w:rPr>
          <w:i/>
          <w:iCs/>
        </w:rPr>
        <w:t>Final Memorandum on Research Benefits and Implementation Steps</w:t>
      </w:r>
    </w:p>
    <w:p w14:paraId="1E13223E" w14:textId="3113EA8E" w:rsidR="00AD683F" w:rsidRPr="00BA1624" w:rsidRDefault="00CE024C" w:rsidP="00D14962">
      <w:pPr>
        <w:rPr>
          <w:i/>
          <w:color w:val="FF0000"/>
          <w:sz w:val="20"/>
        </w:rPr>
      </w:pPr>
      <w:r>
        <w:t>Description: Draft memo outlining conclusions of the research, their benefits, and the steps required for implementation</w:t>
      </w:r>
    </w:p>
    <w:p w14:paraId="1EB30DA1" w14:textId="50236B1E" w:rsidR="00AD683F" w:rsidRPr="00451862" w:rsidRDefault="00AD683F" w:rsidP="00D14962">
      <w:pPr>
        <w:rPr>
          <w:color w:val="000000" w:themeColor="text1"/>
          <w:szCs w:val="22"/>
        </w:rPr>
      </w:pPr>
      <w:r w:rsidRPr="00451862">
        <w:t>Deliverable:</w:t>
      </w:r>
      <w:r w:rsidRPr="00BA1624">
        <w:rPr>
          <w:bCs/>
        </w:rPr>
        <w:t xml:space="preserve"> </w:t>
      </w:r>
      <w:r w:rsidR="009A7CC5" w:rsidRPr="00BA1624">
        <w:rPr>
          <w:bCs/>
        </w:rPr>
        <w:t>Draft</w:t>
      </w:r>
      <w:r w:rsidR="009A7CC5">
        <w:rPr>
          <w:b/>
        </w:rPr>
        <w:t xml:space="preserve"> </w:t>
      </w:r>
      <w:r w:rsidR="009A7CC5" w:rsidRPr="00BA1624">
        <w:rPr>
          <w:bCs/>
        </w:rPr>
        <w:t>Memo</w:t>
      </w:r>
    </w:p>
    <w:p w14:paraId="4695C370" w14:textId="77777777" w:rsidR="00BA1624" w:rsidRDefault="00BA1624" w:rsidP="00D14962"/>
    <w:p w14:paraId="721A7776" w14:textId="39993BBE" w:rsidR="00F037D2" w:rsidRPr="00FC050F" w:rsidRDefault="00F037D2" w:rsidP="00D14962">
      <w:pPr>
        <w:rPr>
          <w:i/>
          <w:iCs/>
        </w:rPr>
      </w:pPr>
      <w:r w:rsidRPr="00FC050F">
        <w:rPr>
          <w:i/>
          <w:iCs/>
        </w:rPr>
        <w:t>Task</w:t>
      </w:r>
      <w:r w:rsidR="00EB4E4B" w:rsidRPr="00FC050F">
        <w:rPr>
          <w:i/>
          <w:iCs/>
        </w:rPr>
        <w:t xml:space="preserve"> </w:t>
      </w:r>
      <w:r w:rsidR="00CE024C" w:rsidRPr="00FC050F">
        <w:rPr>
          <w:i/>
          <w:iCs/>
        </w:rPr>
        <w:t>7</w:t>
      </w:r>
      <w:r w:rsidRPr="00FC050F">
        <w:rPr>
          <w:i/>
          <w:iCs/>
        </w:rPr>
        <w:t xml:space="preserve">: </w:t>
      </w:r>
      <w:r w:rsidR="000411DC" w:rsidRPr="00FC050F">
        <w:rPr>
          <w:i/>
          <w:iCs/>
        </w:rPr>
        <w:t xml:space="preserve"> Draft Final Report </w:t>
      </w:r>
    </w:p>
    <w:p w14:paraId="7C65E4D2" w14:textId="7D0FD6F1" w:rsidR="00F037D2" w:rsidRPr="00451862" w:rsidRDefault="00F037D2" w:rsidP="00D14962">
      <w:r w:rsidRPr="00451862">
        <w:t xml:space="preserve">Description: </w:t>
      </w:r>
      <w:r w:rsidR="00CE024C">
        <w:t xml:space="preserve"> Draft final report describing testing methods and results.</w:t>
      </w:r>
    </w:p>
    <w:p w14:paraId="361425AE" w14:textId="185C4EF9" w:rsidR="00F037D2" w:rsidRPr="00451862" w:rsidRDefault="00F037D2" w:rsidP="00D14962">
      <w:r w:rsidRPr="00451862">
        <w:t xml:space="preserve">Deliverables: </w:t>
      </w:r>
      <w:r w:rsidR="00BA1624">
        <w:t>Draft final report</w:t>
      </w:r>
    </w:p>
    <w:p w14:paraId="5D22D75E" w14:textId="77777777" w:rsidR="00BA1624" w:rsidRDefault="00BA1624" w:rsidP="00D14962">
      <w:pPr>
        <w:rPr>
          <w:rStyle w:val="Heading3Char"/>
          <w:i w:val="0"/>
        </w:rPr>
      </w:pPr>
    </w:p>
    <w:p w14:paraId="305A80B2" w14:textId="1CAD261D" w:rsidR="00F037D2" w:rsidRPr="00FC050F" w:rsidRDefault="00F965F7" w:rsidP="00BA1624">
      <w:pPr>
        <w:rPr>
          <w:bCs/>
          <w:i/>
          <w:iCs/>
        </w:rPr>
      </w:pPr>
      <w:r w:rsidRPr="00FC050F">
        <w:rPr>
          <w:bCs/>
          <w:i/>
          <w:iCs/>
        </w:rPr>
        <w:t>T</w:t>
      </w:r>
      <w:r w:rsidR="00CE024C" w:rsidRPr="00FC050F">
        <w:rPr>
          <w:bCs/>
          <w:i/>
          <w:iCs/>
        </w:rPr>
        <w:t>ask 8</w:t>
      </w:r>
      <w:r w:rsidR="00F037D2" w:rsidRPr="00FC050F">
        <w:rPr>
          <w:bCs/>
          <w:i/>
          <w:iCs/>
        </w:rPr>
        <w:t>: Editorial Review and Publication of Final Report</w:t>
      </w:r>
    </w:p>
    <w:p w14:paraId="174E2D07" w14:textId="77A54A67" w:rsidR="00F037D2" w:rsidRPr="00BA1624" w:rsidRDefault="00E746B5" w:rsidP="00BA1624">
      <w:pPr>
        <w:rPr>
          <w:bCs/>
        </w:rPr>
      </w:pPr>
      <w:r w:rsidRPr="00BA1624">
        <w:rPr>
          <w:bCs/>
        </w:rPr>
        <w:t>Description:</w:t>
      </w:r>
      <w:r w:rsidR="00CE024C" w:rsidRPr="00BA1624">
        <w:rPr>
          <w:bCs/>
        </w:rPr>
        <w:t xml:space="preserve"> Editorial Review and Publication of Final Report</w:t>
      </w:r>
    </w:p>
    <w:p w14:paraId="1D41DB49" w14:textId="3BD6ECFD" w:rsidR="004D1CB3" w:rsidRDefault="00F037D2" w:rsidP="00BC7E49">
      <w:r w:rsidRPr="00BA1624">
        <w:rPr>
          <w:bCs/>
        </w:rPr>
        <w:t>Deliverables:</w:t>
      </w:r>
      <w:r w:rsidRPr="00451862">
        <w:t xml:space="preserve"> Final Publish</w:t>
      </w:r>
      <w:r w:rsidR="004E40AF" w:rsidRPr="00451862">
        <w:t>able</w:t>
      </w:r>
      <w:r w:rsidRPr="00451862">
        <w:t xml:space="preserve"> Report</w:t>
      </w:r>
      <w:r w:rsidR="00E746B5" w:rsidRPr="00451862">
        <w:t xml:space="preserve"> that meets </w:t>
      </w:r>
      <w:hyperlink r:id="rId11" w:history="1">
        <w:r w:rsidR="00E746B5" w:rsidRPr="00451862">
          <w:rPr>
            <w:rStyle w:val="Hyperlink"/>
          </w:rPr>
          <w:t>MnDOT’s Editorial G</w:t>
        </w:r>
        <w:r w:rsidR="004E40AF" w:rsidRPr="00451862">
          <w:rPr>
            <w:rStyle w:val="Hyperlink"/>
          </w:rPr>
          <w:t>uidelines</w:t>
        </w:r>
      </w:hyperlink>
      <w:r w:rsidR="004E40AF" w:rsidRPr="00451862">
        <w:t xml:space="preserve"> and standards</w:t>
      </w:r>
    </w:p>
    <w:p w14:paraId="6B15FF29" w14:textId="00165E88" w:rsidR="00290DB6" w:rsidRDefault="00290DB6" w:rsidP="00147F75">
      <w:pPr>
        <w:pStyle w:val="Heading1"/>
        <w:keepNext w:val="0"/>
      </w:pPr>
      <w:r>
        <w:t xml:space="preserve">Schedule </w:t>
      </w:r>
    </w:p>
    <w:p w14:paraId="090BB01A" w14:textId="233C6FC2" w:rsidR="00092242" w:rsidRDefault="00092242" w:rsidP="00092242">
      <w:r>
        <w:t xml:space="preserve">This project is anticipated to span approximately 1.5 years, with the bulk of the lab work occurring in the summer.  The full project schedule is shown in </w:t>
      </w:r>
      <w:r>
        <w:fldChar w:fldCharType="begin"/>
      </w:r>
      <w:r>
        <w:instrText xml:space="preserve"> REF _Ref12608183 \h </w:instrText>
      </w:r>
      <w:r>
        <w:fldChar w:fldCharType="separate"/>
      </w:r>
      <w:r w:rsidR="00F9577D">
        <w:t xml:space="preserve">Table </w:t>
      </w:r>
      <w:r w:rsidR="00F9577D">
        <w:rPr>
          <w:noProof/>
        </w:rPr>
        <w:t>1</w:t>
      </w:r>
      <w:r>
        <w:fldChar w:fldCharType="end"/>
      </w:r>
      <w:r>
        <w:t xml:space="preserve">. Interim project updates will be provided at time intervals as requested by NRRA and the final report will be provided upon completion of the project. </w:t>
      </w:r>
    </w:p>
    <w:p w14:paraId="347ED391" w14:textId="77777777" w:rsidR="00092242" w:rsidRDefault="00092242" w:rsidP="00092242"/>
    <w:p w14:paraId="206F9A75" w14:textId="20EE4AEE" w:rsidR="00092242" w:rsidRDefault="00092242" w:rsidP="00092242">
      <w:pPr>
        <w:pStyle w:val="Caption"/>
      </w:pPr>
      <w:bookmarkStart w:id="0" w:name="_Ref12608183"/>
      <w:r>
        <w:t xml:space="preserve">Table </w:t>
      </w:r>
      <w:r>
        <w:fldChar w:fldCharType="begin"/>
      </w:r>
      <w:r>
        <w:instrText xml:space="preserve"> SEQ Table \* ARABIC </w:instrText>
      </w:r>
      <w:r>
        <w:fldChar w:fldCharType="separate"/>
      </w:r>
      <w:r w:rsidR="00F9577D">
        <w:rPr>
          <w:noProof/>
        </w:rPr>
        <w:t>1</w:t>
      </w:r>
      <w:r>
        <w:rPr>
          <w:noProof/>
        </w:rPr>
        <w:fldChar w:fldCharType="end"/>
      </w:r>
      <w:bookmarkEnd w:id="0"/>
      <w:r>
        <w:t>: Project Schedule</w:t>
      </w:r>
    </w:p>
    <w:tbl>
      <w:tblPr>
        <w:tblW w:w="0" w:type="auto"/>
        <w:jc w:val="center"/>
        <w:tblLook w:val="04A0" w:firstRow="1" w:lastRow="0" w:firstColumn="1" w:lastColumn="0" w:noHBand="0" w:noVBand="1"/>
      </w:tblPr>
      <w:tblGrid>
        <w:gridCol w:w="2929"/>
        <w:gridCol w:w="1056"/>
        <w:gridCol w:w="1056"/>
        <w:gridCol w:w="1056"/>
        <w:gridCol w:w="1056"/>
      </w:tblGrid>
      <w:tr w:rsidR="00092242" w:rsidRPr="00092242" w14:paraId="2CD71BA4" w14:textId="77777777" w:rsidTr="00E77624">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53924" w14:textId="77777777" w:rsidR="00092242" w:rsidRPr="00092242" w:rsidRDefault="00092242" w:rsidP="00E77624">
            <w:pPr>
              <w:jc w:val="center"/>
              <w:rPr>
                <w:rFonts w:eastAsia="Times New Roman"/>
                <w:color w:val="000000"/>
                <w:szCs w:val="24"/>
              </w:rPr>
            </w:pPr>
            <w:r w:rsidRPr="00092242">
              <w:rPr>
                <w:rFonts w:eastAsia="Times New Roman"/>
                <w:color w:val="000000"/>
                <w:szCs w:val="24"/>
              </w:rPr>
              <w:t>Task</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35EE1496" w14:textId="77777777" w:rsidR="00092242" w:rsidRPr="00092242" w:rsidRDefault="00092242" w:rsidP="00E77624">
            <w:pPr>
              <w:jc w:val="center"/>
              <w:rPr>
                <w:rFonts w:eastAsia="Times New Roman"/>
                <w:color w:val="000000"/>
                <w:szCs w:val="24"/>
              </w:rPr>
            </w:pPr>
            <w:r w:rsidRPr="00092242">
              <w:rPr>
                <w:rFonts w:eastAsia="Times New Roman"/>
                <w:color w:val="000000"/>
                <w:szCs w:val="24"/>
              </w:rPr>
              <w:t>Spring semester</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099897BC" w14:textId="77777777" w:rsidR="00092242" w:rsidRPr="00092242" w:rsidRDefault="00092242" w:rsidP="00E77624">
            <w:pPr>
              <w:jc w:val="center"/>
              <w:rPr>
                <w:rFonts w:eastAsia="Times New Roman"/>
                <w:color w:val="000000"/>
                <w:szCs w:val="24"/>
              </w:rPr>
            </w:pPr>
            <w:r w:rsidRPr="00092242">
              <w:rPr>
                <w:rFonts w:eastAsia="Times New Roman"/>
                <w:color w:val="000000"/>
                <w:szCs w:val="24"/>
              </w:rPr>
              <w:t>Summer semester</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3E01C796" w14:textId="77777777" w:rsidR="00092242" w:rsidRPr="00092242" w:rsidRDefault="00092242" w:rsidP="00E77624">
            <w:pPr>
              <w:ind w:hanging="112"/>
              <w:jc w:val="center"/>
              <w:rPr>
                <w:rFonts w:eastAsia="Times New Roman"/>
                <w:color w:val="000000"/>
                <w:szCs w:val="24"/>
              </w:rPr>
            </w:pPr>
            <w:r w:rsidRPr="00092242">
              <w:rPr>
                <w:rFonts w:eastAsia="Times New Roman"/>
                <w:color w:val="000000"/>
                <w:szCs w:val="24"/>
              </w:rPr>
              <w:t>Fall semester</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6552997C" w14:textId="77777777" w:rsidR="00092242" w:rsidRPr="00092242" w:rsidRDefault="00092242" w:rsidP="00E77624">
            <w:pPr>
              <w:jc w:val="center"/>
              <w:rPr>
                <w:rFonts w:eastAsia="Times New Roman"/>
                <w:color w:val="000000"/>
                <w:szCs w:val="24"/>
              </w:rPr>
            </w:pPr>
            <w:r w:rsidRPr="00092242">
              <w:rPr>
                <w:rFonts w:eastAsia="Times New Roman"/>
                <w:color w:val="000000"/>
                <w:szCs w:val="24"/>
              </w:rPr>
              <w:t>Spring semester</w:t>
            </w:r>
          </w:p>
        </w:tc>
      </w:tr>
      <w:tr w:rsidR="00092242" w:rsidRPr="00092242" w14:paraId="119BCA61" w14:textId="77777777" w:rsidTr="00E7762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4C2424" w14:textId="77777777" w:rsidR="00092242" w:rsidRPr="00092242" w:rsidRDefault="00092242" w:rsidP="00E77624">
            <w:pPr>
              <w:rPr>
                <w:rFonts w:eastAsia="Times New Roman"/>
                <w:color w:val="000000"/>
                <w:szCs w:val="24"/>
              </w:rPr>
            </w:pPr>
            <w:r w:rsidRPr="00092242">
              <w:rPr>
                <w:rFonts w:eastAsia="Times New Roman"/>
                <w:color w:val="000000"/>
                <w:szCs w:val="24"/>
              </w:rPr>
              <w:t>Literature review</w:t>
            </w:r>
          </w:p>
        </w:tc>
        <w:tc>
          <w:tcPr>
            <w:tcW w:w="1043" w:type="dxa"/>
            <w:tcBorders>
              <w:top w:val="nil"/>
              <w:left w:val="nil"/>
              <w:bottom w:val="single" w:sz="4" w:space="0" w:color="auto"/>
              <w:right w:val="single" w:sz="4" w:space="0" w:color="auto"/>
            </w:tcBorders>
            <w:shd w:val="clear" w:color="000000" w:fill="BFBFBF"/>
            <w:noWrap/>
            <w:vAlign w:val="bottom"/>
            <w:hideMark/>
          </w:tcPr>
          <w:p w14:paraId="2B135072"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c>
          <w:tcPr>
            <w:tcW w:w="1043" w:type="dxa"/>
            <w:tcBorders>
              <w:top w:val="nil"/>
              <w:left w:val="nil"/>
              <w:bottom w:val="single" w:sz="4" w:space="0" w:color="auto"/>
              <w:right w:val="single" w:sz="4" w:space="0" w:color="auto"/>
            </w:tcBorders>
            <w:shd w:val="clear" w:color="auto" w:fill="auto"/>
            <w:noWrap/>
            <w:vAlign w:val="bottom"/>
            <w:hideMark/>
          </w:tcPr>
          <w:p w14:paraId="1F01F750"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c>
          <w:tcPr>
            <w:tcW w:w="1043" w:type="dxa"/>
            <w:tcBorders>
              <w:top w:val="nil"/>
              <w:left w:val="nil"/>
              <w:bottom w:val="single" w:sz="4" w:space="0" w:color="auto"/>
              <w:right w:val="single" w:sz="4" w:space="0" w:color="auto"/>
            </w:tcBorders>
            <w:shd w:val="clear" w:color="auto" w:fill="auto"/>
            <w:noWrap/>
            <w:vAlign w:val="bottom"/>
            <w:hideMark/>
          </w:tcPr>
          <w:p w14:paraId="29797FFF"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5301B80"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r>
      <w:tr w:rsidR="00092242" w:rsidRPr="00092242" w14:paraId="0A2EE519" w14:textId="77777777" w:rsidTr="00E7762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AFACA7" w14:textId="77777777" w:rsidR="00092242" w:rsidRPr="00092242" w:rsidRDefault="00092242" w:rsidP="00E77624">
            <w:pPr>
              <w:rPr>
                <w:rFonts w:eastAsia="Times New Roman"/>
                <w:color w:val="000000"/>
                <w:szCs w:val="24"/>
              </w:rPr>
            </w:pPr>
            <w:r w:rsidRPr="00092242">
              <w:rPr>
                <w:rFonts w:eastAsia="Times New Roman"/>
                <w:color w:val="000000"/>
                <w:szCs w:val="24"/>
              </w:rPr>
              <w:t>Material acquisition</w:t>
            </w:r>
          </w:p>
        </w:tc>
        <w:tc>
          <w:tcPr>
            <w:tcW w:w="1043" w:type="dxa"/>
            <w:tcBorders>
              <w:top w:val="nil"/>
              <w:left w:val="nil"/>
              <w:bottom w:val="single" w:sz="4" w:space="0" w:color="auto"/>
              <w:right w:val="single" w:sz="4" w:space="0" w:color="auto"/>
            </w:tcBorders>
            <w:shd w:val="clear" w:color="000000" w:fill="BFBFBF"/>
            <w:noWrap/>
            <w:vAlign w:val="bottom"/>
            <w:hideMark/>
          </w:tcPr>
          <w:p w14:paraId="0E7F4C1A"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c>
          <w:tcPr>
            <w:tcW w:w="1043" w:type="dxa"/>
            <w:tcBorders>
              <w:top w:val="nil"/>
              <w:left w:val="nil"/>
              <w:bottom w:val="single" w:sz="4" w:space="0" w:color="auto"/>
              <w:right w:val="single" w:sz="4" w:space="0" w:color="auto"/>
            </w:tcBorders>
            <w:shd w:val="clear" w:color="auto" w:fill="auto"/>
            <w:noWrap/>
            <w:vAlign w:val="bottom"/>
            <w:hideMark/>
          </w:tcPr>
          <w:p w14:paraId="44973539"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c>
          <w:tcPr>
            <w:tcW w:w="1043" w:type="dxa"/>
            <w:tcBorders>
              <w:top w:val="nil"/>
              <w:left w:val="nil"/>
              <w:bottom w:val="single" w:sz="4" w:space="0" w:color="auto"/>
              <w:right w:val="single" w:sz="4" w:space="0" w:color="auto"/>
            </w:tcBorders>
            <w:shd w:val="clear" w:color="auto" w:fill="auto"/>
            <w:noWrap/>
            <w:vAlign w:val="bottom"/>
            <w:hideMark/>
          </w:tcPr>
          <w:p w14:paraId="77E192E3"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23CCFDBC"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r>
      <w:tr w:rsidR="00092242" w:rsidRPr="00092242" w14:paraId="01073DF8" w14:textId="77777777" w:rsidTr="00E7762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17B4B7" w14:textId="77777777" w:rsidR="00092242" w:rsidRPr="00092242" w:rsidRDefault="00092242" w:rsidP="00E77624">
            <w:pPr>
              <w:rPr>
                <w:rFonts w:eastAsia="Times New Roman"/>
                <w:color w:val="000000"/>
                <w:szCs w:val="24"/>
              </w:rPr>
            </w:pPr>
            <w:r w:rsidRPr="00092242">
              <w:rPr>
                <w:rFonts w:eastAsia="Times New Roman"/>
                <w:color w:val="000000"/>
                <w:szCs w:val="24"/>
              </w:rPr>
              <w:t>Aggregate characterization</w:t>
            </w:r>
          </w:p>
        </w:tc>
        <w:tc>
          <w:tcPr>
            <w:tcW w:w="1043" w:type="dxa"/>
            <w:tcBorders>
              <w:top w:val="nil"/>
              <w:left w:val="nil"/>
              <w:bottom w:val="single" w:sz="4" w:space="0" w:color="auto"/>
              <w:right w:val="single" w:sz="4" w:space="0" w:color="auto"/>
            </w:tcBorders>
            <w:shd w:val="clear" w:color="000000" w:fill="BFBFBF"/>
            <w:noWrap/>
            <w:vAlign w:val="bottom"/>
            <w:hideMark/>
          </w:tcPr>
          <w:p w14:paraId="5C7CB901"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c>
          <w:tcPr>
            <w:tcW w:w="1043" w:type="dxa"/>
            <w:tcBorders>
              <w:top w:val="nil"/>
              <w:left w:val="nil"/>
              <w:bottom w:val="single" w:sz="4" w:space="0" w:color="auto"/>
              <w:right w:val="single" w:sz="4" w:space="0" w:color="auto"/>
            </w:tcBorders>
            <w:shd w:val="clear" w:color="auto" w:fill="auto"/>
            <w:noWrap/>
            <w:vAlign w:val="bottom"/>
            <w:hideMark/>
          </w:tcPr>
          <w:p w14:paraId="37D2441D"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c>
          <w:tcPr>
            <w:tcW w:w="1043" w:type="dxa"/>
            <w:tcBorders>
              <w:top w:val="nil"/>
              <w:left w:val="nil"/>
              <w:bottom w:val="single" w:sz="4" w:space="0" w:color="auto"/>
              <w:right w:val="single" w:sz="4" w:space="0" w:color="auto"/>
            </w:tcBorders>
            <w:shd w:val="clear" w:color="auto" w:fill="auto"/>
            <w:noWrap/>
            <w:vAlign w:val="bottom"/>
            <w:hideMark/>
          </w:tcPr>
          <w:p w14:paraId="188BE3D4"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9B006F2"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r>
      <w:tr w:rsidR="00092242" w:rsidRPr="00092242" w14:paraId="1DB338CD" w14:textId="77777777" w:rsidTr="00E7762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E11496" w14:textId="77777777" w:rsidR="00092242" w:rsidRPr="00092242" w:rsidRDefault="00092242" w:rsidP="00E77624">
            <w:pPr>
              <w:rPr>
                <w:rFonts w:eastAsia="Times New Roman"/>
                <w:color w:val="000000"/>
                <w:szCs w:val="24"/>
              </w:rPr>
            </w:pPr>
            <w:r w:rsidRPr="00092242">
              <w:rPr>
                <w:rFonts w:eastAsia="Times New Roman"/>
                <w:color w:val="000000"/>
                <w:szCs w:val="24"/>
              </w:rPr>
              <w:t>Mix design development</w:t>
            </w:r>
          </w:p>
        </w:tc>
        <w:tc>
          <w:tcPr>
            <w:tcW w:w="1043" w:type="dxa"/>
            <w:tcBorders>
              <w:top w:val="nil"/>
              <w:left w:val="nil"/>
              <w:bottom w:val="single" w:sz="4" w:space="0" w:color="auto"/>
              <w:right w:val="single" w:sz="4" w:space="0" w:color="auto"/>
            </w:tcBorders>
            <w:shd w:val="clear" w:color="000000" w:fill="BFBFBF"/>
            <w:noWrap/>
            <w:vAlign w:val="bottom"/>
            <w:hideMark/>
          </w:tcPr>
          <w:p w14:paraId="0EDF6888"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c>
          <w:tcPr>
            <w:tcW w:w="1043" w:type="dxa"/>
            <w:tcBorders>
              <w:top w:val="nil"/>
              <w:left w:val="nil"/>
              <w:bottom w:val="single" w:sz="4" w:space="0" w:color="auto"/>
              <w:right w:val="single" w:sz="4" w:space="0" w:color="auto"/>
            </w:tcBorders>
            <w:shd w:val="clear" w:color="auto" w:fill="auto"/>
            <w:noWrap/>
            <w:vAlign w:val="bottom"/>
            <w:hideMark/>
          </w:tcPr>
          <w:p w14:paraId="2BB9E490"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c>
          <w:tcPr>
            <w:tcW w:w="1043" w:type="dxa"/>
            <w:tcBorders>
              <w:top w:val="nil"/>
              <w:left w:val="nil"/>
              <w:bottom w:val="single" w:sz="4" w:space="0" w:color="auto"/>
              <w:right w:val="single" w:sz="4" w:space="0" w:color="auto"/>
            </w:tcBorders>
            <w:shd w:val="clear" w:color="auto" w:fill="auto"/>
            <w:noWrap/>
            <w:vAlign w:val="bottom"/>
            <w:hideMark/>
          </w:tcPr>
          <w:p w14:paraId="15823E85"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0A53A1D"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r>
      <w:tr w:rsidR="00092242" w:rsidRPr="00092242" w14:paraId="1F3C2F7D" w14:textId="77777777" w:rsidTr="00E7762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96CC90" w14:textId="77777777" w:rsidR="00092242" w:rsidRPr="00092242" w:rsidRDefault="00092242" w:rsidP="00E77624">
            <w:pPr>
              <w:rPr>
                <w:rFonts w:eastAsia="Times New Roman"/>
                <w:color w:val="000000"/>
                <w:szCs w:val="24"/>
              </w:rPr>
            </w:pPr>
            <w:r w:rsidRPr="00092242">
              <w:rPr>
                <w:rFonts w:eastAsia="Times New Roman"/>
                <w:color w:val="000000"/>
                <w:szCs w:val="24"/>
              </w:rPr>
              <w:t>Concrete mixing and testing</w:t>
            </w:r>
          </w:p>
        </w:tc>
        <w:tc>
          <w:tcPr>
            <w:tcW w:w="1043" w:type="dxa"/>
            <w:tcBorders>
              <w:top w:val="nil"/>
              <w:left w:val="nil"/>
              <w:bottom w:val="single" w:sz="4" w:space="0" w:color="auto"/>
              <w:right w:val="single" w:sz="4" w:space="0" w:color="auto"/>
            </w:tcBorders>
            <w:shd w:val="clear" w:color="auto" w:fill="auto"/>
            <w:noWrap/>
            <w:vAlign w:val="bottom"/>
            <w:hideMark/>
          </w:tcPr>
          <w:p w14:paraId="5732A413"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c>
          <w:tcPr>
            <w:tcW w:w="1043" w:type="dxa"/>
            <w:tcBorders>
              <w:top w:val="nil"/>
              <w:left w:val="nil"/>
              <w:bottom w:val="single" w:sz="4" w:space="0" w:color="auto"/>
              <w:right w:val="single" w:sz="4" w:space="0" w:color="auto"/>
            </w:tcBorders>
            <w:shd w:val="clear" w:color="000000" w:fill="BFBFBF"/>
            <w:noWrap/>
            <w:vAlign w:val="bottom"/>
            <w:hideMark/>
          </w:tcPr>
          <w:p w14:paraId="4CCD5F2B"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c>
          <w:tcPr>
            <w:tcW w:w="1043" w:type="dxa"/>
            <w:tcBorders>
              <w:top w:val="nil"/>
              <w:left w:val="nil"/>
              <w:bottom w:val="single" w:sz="4" w:space="0" w:color="auto"/>
              <w:right w:val="single" w:sz="4" w:space="0" w:color="auto"/>
            </w:tcBorders>
            <w:shd w:val="clear" w:color="000000" w:fill="BFBFBF"/>
            <w:noWrap/>
            <w:vAlign w:val="bottom"/>
            <w:hideMark/>
          </w:tcPr>
          <w:p w14:paraId="7DC8CE88"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BA8366A"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r>
      <w:tr w:rsidR="00092242" w:rsidRPr="00092242" w14:paraId="1BFFD297" w14:textId="77777777" w:rsidTr="00E7762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F6A3FA" w14:textId="77777777" w:rsidR="00092242" w:rsidRPr="00092242" w:rsidRDefault="00092242" w:rsidP="00E77624">
            <w:pPr>
              <w:rPr>
                <w:rFonts w:eastAsia="Times New Roman"/>
                <w:color w:val="000000"/>
                <w:szCs w:val="24"/>
              </w:rPr>
            </w:pPr>
            <w:r w:rsidRPr="00092242">
              <w:rPr>
                <w:rFonts w:eastAsia="Times New Roman"/>
                <w:color w:val="000000"/>
                <w:szCs w:val="24"/>
              </w:rPr>
              <w:t>Data analysis</w:t>
            </w:r>
          </w:p>
        </w:tc>
        <w:tc>
          <w:tcPr>
            <w:tcW w:w="1043" w:type="dxa"/>
            <w:tcBorders>
              <w:top w:val="nil"/>
              <w:left w:val="nil"/>
              <w:bottom w:val="single" w:sz="4" w:space="0" w:color="auto"/>
              <w:right w:val="single" w:sz="4" w:space="0" w:color="auto"/>
            </w:tcBorders>
            <w:shd w:val="clear" w:color="auto" w:fill="auto"/>
            <w:noWrap/>
            <w:vAlign w:val="bottom"/>
            <w:hideMark/>
          </w:tcPr>
          <w:p w14:paraId="2AFD984C"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c>
          <w:tcPr>
            <w:tcW w:w="1043" w:type="dxa"/>
            <w:tcBorders>
              <w:top w:val="nil"/>
              <w:left w:val="nil"/>
              <w:bottom w:val="single" w:sz="4" w:space="0" w:color="auto"/>
              <w:right w:val="single" w:sz="4" w:space="0" w:color="auto"/>
            </w:tcBorders>
            <w:shd w:val="clear" w:color="000000" w:fill="BFBFBF"/>
            <w:noWrap/>
            <w:vAlign w:val="bottom"/>
            <w:hideMark/>
          </w:tcPr>
          <w:p w14:paraId="5DC8535B"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c>
          <w:tcPr>
            <w:tcW w:w="1043" w:type="dxa"/>
            <w:tcBorders>
              <w:top w:val="nil"/>
              <w:left w:val="nil"/>
              <w:bottom w:val="single" w:sz="4" w:space="0" w:color="auto"/>
              <w:right w:val="single" w:sz="4" w:space="0" w:color="auto"/>
            </w:tcBorders>
            <w:shd w:val="clear" w:color="000000" w:fill="BFBFBF"/>
            <w:noWrap/>
            <w:vAlign w:val="bottom"/>
            <w:hideMark/>
          </w:tcPr>
          <w:p w14:paraId="6932A94A"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c>
          <w:tcPr>
            <w:tcW w:w="0" w:type="auto"/>
            <w:tcBorders>
              <w:top w:val="nil"/>
              <w:left w:val="nil"/>
              <w:bottom w:val="single" w:sz="4" w:space="0" w:color="auto"/>
              <w:right w:val="single" w:sz="4" w:space="0" w:color="auto"/>
            </w:tcBorders>
            <w:shd w:val="clear" w:color="000000" w:fill="BFBFBF"/>
            <w:noWrap/>
            <w:vAlign w:val="bottom"/>
            <w:hideMark/>
          </w:tcPr>
          <w:p w14:paraId="579576EA"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r>
      <w:tr w:rsidR="00092242" w:rsidRPr="00092242" w14:paraId="00448985" w14:textId="77777777" w:rsidTr="00E7762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3EADB1" w14:textId="77777777" w:rsidR="00092242" w:rsidRPr="00092242" w:rsidRDefault="00092242" w:rsidP="00E77624">
            <w:pPr>
              <w:rPr>
                <w:rFonts w:eastAsia="Times New Roman"/>
                <w:color w:val="000000"/>
                <w:szCs w:val="24"/>
              </w:rPr>
            </w:pPr>
            <w:r w:rsidRPr="00092242">
              <w:rPr>
                <w:rFonts w:eastAsia="Times New Roman"/>
                <w:color w:val="000000"/>
                <w:szCs w:val="24"/>
              </w:rPr>
              <w:t>Final report writing</w:t>
            </w:r>
          </w:p>
        </w:tc>
        <w:tc>
          <w:tcPr>
            <w:tcW w:w="1043" w:type="dxa"/>
            <w:tcBorders>
              <w:top w:val="nil"/>
              <w:left w:val="nil"/>
              <w:bottom w:val="single" w:sz="4" w:space="0" w:color="auto"/>
              <w:right w:val="single" w:sz="4" w:space="0" w:color="auto"/>
            </w:tcBorders>
            <w:shd w:val="clear" w:color="auto" w:fill="auto"/>
            <w:noWrap/>
            <w:vAlign w:val="bottom"/>
            <w:hideMark/>
          </w:tcPr>
          <w:p w14:paraId="3F9A3A0A"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c>
          <w:tcPr>
            <w:tcW w:w="1043" w:type="dxa"/>
            <w:tcBorders>
              <w:top w:val="nil"/>
              <w:left w:val="nil"/>
              <w:bottom w:val="single" w:sz="4" w:space="0" w:color="auto"/>
              <w:right w:val="single" w:sz="4" w:space="0" w:color="auto"/>
            </w:tcBorders>
            <w:shd w:val="clear" w:color="auto" w:fill="auto"/>
            <w:noWrap/>
            <w:vAlign w:val="bottom"/>
            <w:hideMark/>
          </w:tcPr>
          <w:p w14:paraId="1AB16A33"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c>
          <w:tcPr>
            <w:tcW w:w="1043" w:type="dxa"/>
            <w:tcBorders>
              <w:top w:val="nil"/>
              <w:left w:val="nil"/>
              <w:bottom w:val="single" w:sz="4" w:space="0" w:color="auto"/>
              <w:right w:val="single" w:sz="4" w:space="0" w:color="auto"/>
            </w:tcBorders>
            <w:shd w:val="clear" w:color="000000" w:fill="BFBFBF"/>
            <w:noWrap/>
            <w:vAlign w:val="bottom"/>
            <w:hideMark/>
          </w:tcPr>
          <w:p w14:paraId="2343F4D4"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c>
          <w:tcPr>
            <w:tcW w:w="0" w:type="auto"/>
            <w:tcBorders>
              <w:top w:val="nil"/>
              <w:left w:val="nil"/>
              <w:bottom w:val="single" w:sz="4" w:space="0" w:color="auto"/>
              <w:right w:val="single" w:sz="4" w:space="0" w:color="auto"/>
            </w:tcBorders>
            <w:shd w:val="clear" w:color="000000" w:fill="BFBFBF"/>
            <w:noWrap/>
            <w:vAlign w:val="bottom"/>
            <w:hideMark/>
          </w:tcPr>
          <w:p w14:paraId="01143BBE"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r>
      <w:tr w:rsidR="00092242" w:rsidRPr="00092242" w14:paraId="1AD11760" w14:textId="77777777" w:rsidTr="00E7762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5C6E36" w14:textId="77777777" w:rsidR="00092242" w:rsidRPr="00092242" w:rsidRDefault="00092242" w:rsidP="00E77624">
            <w:pPr>
              <w:rPr>
                <w:rFonts w:eastAsia="Times New Roman"/>
                <w:color w:val="000000"/>
                <w:szCs w:val="24"/>
              </w:rPr>
            </w:pPr>
            <w:r w:rsidRPr="00092242">
              <w:rPr>
                <w:rFonts w:eastAsia="Times New Roman"/>
                <w:color w:val="000000"/>
                <w:szCs w:val="24"/>
              </w:rPr>
              <w:t>Final report review</w:t>
            </w:r>
          </w:p>
        </w:tc>
        <w:tc>
          <w:tcPr>
            <w:tcW w:w="1043" w:type="dxa"/>
            <w:tcBorders>
              <w:top w:val="nil"/>
              <w:left w:val="nil"/>
              <w:bottom w:val="single" w:sz="4" w:space="0" w:color="auto"/>
              <w:right w:val="single" w:sz="4" w:space="0" w:color="auto"/>
            </w:tcBorders>
            <w:shd w:val="clear" w:color="auto" w:fill="auto"/>
            <w:noWrap/>
            <w:vAlign w:val="bottom"/>
            <w:hideMark/>
          </w:tcPr>
          <w:p w14:paraId="54FCEA1D"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c>
          <w:tcPr>
            <w:tcW w:w="1043" w:type="dxa"/>
            <w:tcBorders>
              <w:top w:val="nil"/>
              <w:left w:val="nil"/>
              <w:bottom w:val="single" w:sz="4" w:space="0" w:color="auto"/>
              <w:right w:val="single" w:sz="4" w:space="0" w:color="auto"/>
            </w:tcBorders>
            <w:shd w:val="clear" w:color="auto" w:fill="auto"/>
            <w:noWrap/>
            <w:vAlign w:val="bottom"/>
            <w:hideMark/>
          </w:tcPr>
          <w:p w14:paraId="05AE3C78"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c>
          <w:tcPr>
            <w:tcW w:w="1043" w:type="dxa"/>
            <w:tcBorders>
              <w:top w:val="nil"/>
              <w:left w:val="nil"/>
              <w:bottom w:val="single" w:sz="4" w:space="0" w:color="auto"/>
              <w:right w:val="single" w:sz="4" w:space="0" w:color="auto"/>
            </w:tcBorders>
            <w:shd w:val="clear" w:color="auto" w:fill="auto"/>
            <w:noWrap/>
            <w:vAlign w:val="bottom"/>
            <w:hideMark/>
          </w:tcPr>
          <w:p w14:paraId="08528A95"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c>
          <w:tcPr>
            <w:tcW w:w="0" w:type="auto"/>
            <w:tcBorders>
              <w:top w:val="nil"/>
              <w:left w:val="nil"/>
              <w:bottom w:val="single" w:sz="4" w:space="0" w:color="auto"/>
              <w:right w:val="single" w:sz="4" w:space="0" w:color="auto"/>
            </w:tcBorders>
            <w:shd w:val="clear" w:color="000000" w:fill="BFBFBF"/>
            <w:noWrap/>
            <w:vAlign w:val="bottom"/>
            <w:hideMark/>
          </w:tcPr>
          <w:p w14:paraId="619B3870" w14:textId="77777777" w:rsidR="00092242" w:rsidRPr="00092242" w:rsidRDefault="00092242" w:rsidP="00E77624">
            <w:pPr>
              <w:rPr>
                <w:rFonts w:eastAsia="Times New Roman"/>
                <w:color w:val="000000"/>
                <w:szCs w:val="24"/>
              </w:rPr>
            </w:pPr>
            <w:r w:rsidRPr="00092242">
              <w:rPr>
                <w:rFonts w:eastAsia="Times New Roman"/>
                <w:color w:val="000000"/>
                <w:szCs w:val="24"/>
              </w:rPr>
              <w:t> </w:t>
            </w:r>
          </w:p>
        </w:tc>
      </w:tr>
    </w:tbl>
    <w:p w14:paraId="75353256" w14:textId="77777777" w:rsidR="00290DB6" w:rsidRPr="00290DB6" w:rsidRDefault="00290DB6" w:rsidP="00290DB6"/>
    <w:p w14:paraId="1E9BCB7D" w14:textId="1F34F0DF" w:rsidR="00C3275B" w:rsidRDefault="00FC050F" w:rsidP="00147F75">
      <w:pPr>
        <w:pStyle w:val="Heading1"/>
        <w:keepNext w:val="0"/>
      </w:pPr>
      <w:r>
        <w:lastRenderedPageBreak/>
        <w:t>Budget</w:t>
      </w:r>
    </w:p>
    <w:p w14:paraId="22D6B25D" w14:textId="2232C258" w:rsidR="00E15768" w:rsidRDefault="00E15768" w:rsidP="00E15768">
      <w:r>
        <w:t xml:space="preserve">The research proposed in this grant will be funded through a combination of the grant award, industry partnership with the Aggregate </w:t>
      </w:r>
      <w:proofErr w:type="gramStart"/>
      <w:r>
        <w:t>Ready Mix</w:t>
      </w:r>
      <w:proofErr w:type="gramEnd"/>
      <w:r>
        <w:t xml:space="preserve"> Association of Minnesota (ARM), and leveraging University of St. Thomas resources. The full budget for this project includes funding for materials and supplies, </w:t>
      </w:r>
      <w:r w:rsidR="00A0339B">
        <w:t xml:space="preserve">and </w:t>
      </w:r>
      <w:r>
        <w:t>salaries,</w:t>
      </w:r>
      <w:r w:rsidR="00A0339B">
        <w:t xml:space="preserve"> and is shown in </w:t>
      </w:r>
      <w:r w:rsidR="003B53EC">
        <w:fldChar w:fldCharType="begin"/>
      </w:r>
      <w:r w:rsidR="003B53EC">
        <w:instrText xml:space="preserve"> REF _Ref36103755 \h </w:instrText>
      </w:r>
      <w:r w:rsidR="003B53EC">
        <w:fldChar w:fldCharType="separate"/>
      </w:r>
      <w:r w:rsidR="003B53EC" w:rsidRPr="00451862">
        <w:t xml:space="preserve">Table </w:t>
      </w:r>
      <w:r w:rsidR="003B53EC" w:rsidRPr="00451862">
        <w:rPr>
          <w:noProof/>
        </w:rPr>
        <w:t>2</w:t>
      </w:r>
      <w:r w:rsidR="003B53EC">
        <w:fldChar w:fldCharType="end"/>
      </w:r>
      <w:r w:rsidR="003B53EC">
        <w:t>.</w:t>
      </w:r>
    </w:p>
    <w:p w14:paraId="4D095575" w14:textId="77777777" w:rsidR="00F9577D" w:rsidRPr="00F9577D" w:rsidRDefault="00F9577D" w:rsidP="00F9577D"/>
    <w:p w14:paraId="22DCE69A" w14:textId="77777777" w:rsidR="001F259D" w:rsidRPr="00451862" w:rsidRDefault="001F259D" w:rsidP="00147F75">
      <w:pPr>
        <w:pStyle w:val="Caption"/>
      </w:pPr>
      <w:bookmarkStart w:id="1" w:name="_Ref36103755"/>
      <w:r w:rsidRPr="00451862">
        <w:t xml:space="preserve">Table </w:t>
      </w:r>
      <w:r w:rsidR="006F5D3C" w:rsidRPr="00451862">
        <w:rPr>
          <w:noProof/>
        </w:rPr>
        <w:fldChar w:fldCharType="begin"/>
      </w:r>
      <w:r w:rsidR="006F5D3C" w:rsidRPr="00451862">
        <w:rPr>
          <w:noProof/>
        </w:rPr>
        <w:instrText xml:space="preserve"> SEQ Table \* ARABIC </w:instrText>
      </w:r>
      <w:r w:rsidR="006F5D3C" w:rsidRPr="00451862">
        <w:rPr>
          <w:noProof/>
        </w:rPr>
        <w:fldChar w:fldCharType="separate"/>
      </w:r>
      <w:r w:rsidR="00C97FD6" w:rsidRPr="00451862">
        <w:rPr>
          <w:noProof/>
        </w:rPr>
        <w:t>2</w:t>
      </w:r>
      <w:r w:rsidR="006F5D3C" w:rsidRPr="00451862">
        <w:rPr>
          <w:noProof/>
        </w:rPr>
        <w:fldChar w:fldCharType="end"/>
      </w:r>
      <w:bookmarkEnd w:id="1"/>
      <w:r w:rsidRPr="00451862">
        <w:t>: Budget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3510"/>
        <w:gridCol w:w="2245"/>
      </w:tblGrid>
      <w:tr w:rsidR="00201484" w:rsidRPr="00451862" w14:paraId="43B263FB" w14:textId="77777777" w:rsidTr="00FD699D">
        <w:trPr>
          <w:cantSplit/>
          <w:tblHeader/>
        </w:trPr>
        <w:tc>
          <w:tcPr>
            <w:tcW w:w="3600" w:type="dxa"/>
            <w:tcBorders>
              <w:bottom w:val="single" w:sz="24" w:space="0" w:color="auto"/>
            </w:tcBorders>
          </w:tcPr>
          <w:p w14:paraId="0F8777E4" w14:textId="77777777" w:rsidR="00201484" w:rsidRPr="00451862" w:rsidRDefault="00ED327C" w:rsidP="00D14962">
            <w:r w:rsidRPr="00451862">
              <w:t>Budget Line I</w:t>
            </w:r>
            <w:r w:rsidR="00467F04" w:rsidRPr="00451862">
              <w:t>tems</w:t>
            </w:r>
          </w:p>
        </w:tc>
        <w:tc>
          <w:tcPr>
            <w:tcW w:w="3510" w:type="dxa"/>
            <w:tcBorders>
              <w:bottom w:val="single" w:sz="24" w:space="0" w:color="auto"/>
            </w:tcBorders>
          </w:tcPr>
          <w:p w14:paraId="5B0F266A" w14:textId="77777777" w:rsidR="00201484" w:rsidRPr="00451862" w:rsidRDefault="00201484" w:rsidP="00D14962">
            <w:r w:rsidRPr="00451862">
              <w:t>Description</w:t>
            </w:r>
          </w:p>
        </w:tc>
        <w:tc>
          <w:tcPr>
            <w:tcW w:w="2245" w:type="dxa"/>
            <w:tcBorders>
              <w:bottom w:val="single" w:sz="24" w:space="0" w:color="auto"/>
            </w:tcBorders>
          </w:tcPr>
          <w:p w14:paraId="6F41A060" w14:textId="77777777" w:rsidR="00201484" w:rsidRPr="00451862" w:rsidRDefault="00201484" w:rsidP="00D14962">
            <w:r w:rsidRPr="00451862">
              <w:t xml:space="preserve">Budget </w:t>
            </w:r>
            <w:r w:rsidR="00ED327C" w:rsidRPr="00451862">
              <w:t>Amount</w:t>
            </w:r>
          </w:p>
        </w:tc>
      </w:tr>
      <w:tr w:rsidR="00201484" w:rsidRPr="00451862" w14:paraId="45913BE5" w14:textId="77777777" w:rsidTr="00FD699D">
        <w:trPr>
          <w:cantSplit/>
          <w:tblHeader/>
        </w:trPr>
        <w:tc>
          <w:tcPr>
            <w:tcW w:w="3600" w:type="dxa"/>
            <w:tcBorders>
              <w:top w:val="single" w:sz="24" w:space="0" w:color="auto"/>
            </w:tcBorders>
          </w:tcPr>
          <w:p w14:paraId="2DB27D9C" w14:textId="77777777" w:rsidR="00201484" w:rsidRPr="00451862" w:rsidRDefault="00ED327C" w:rsidP="00D14962">
            <w:r w:rsidRPr="00451862">
              <w:t xml:space="preserve">A. </w:t>
            </w:r>
            <w:r w:rsidR="00201484" w:rsidRPr="00451862">
              <w:t>Salaries</w:t>
            </w:r>
          </w:p>
        </w:tc>
        <w:tc>
          <w:tcPr>
            <w:tcW w:w="3510" w:type="dxa"/>
            <w:tcBorders>
              <w:top w:val="single" w:sz="24" w:space="0" w:color="auto"/>
            </w:tcBorders>
          </w:tcPr>
          <w:p w14:paraId="338992F4" w14:textId="77777777" w:rsidR="00201484" w:rsidRPr="00451862" w:rsidRDefault="005B286D" w:rsidP="00D14962">
            <w:r w:rsidRPr="00451862">
              <w:t>Total Salaries</w:t>
            </w:r>
          </w:p>
        </w:tc>
        <w:tc>
          <w:tcPr>
            <w:tcW w:w="2245" w:type="dxa"/>
            <w:tcBorders>
              <w:top w:val="single" w:sz="24" w:space="0" w:color="auto"/>
            </w:tcBorders>
          </w:tcPr>
          <w:p w14:paraId="3FD766D8" w14:textId="373DD43B" w:rsidR="00201484" w:rsidRPr="00451862" w:rsidRDefault="00201484" w:rsidP="00A65DE2">
            <w:pPr>
              <w:tabs>
                <w:tab w:val="center" w:pos="1014"/>
              </w:tabs>
            </w:pPr>
          </w:p>
        </w:tc>
      </w:tr>
      <w:tr w:rsidR="00201484" w:rsidRPr="00451862" w14:paraId="1F494DA6" w14:textId="77777777" w:rsidTr="00FD699D">
        <w:trPr>
          <w:cantSplit/>
          <w:tblHeader/>
        </w:trPr>
        <w:tc>
          <w:tcPr>
            <w:tcW w:w="3600" w:type="dxa"/>
          </w:tcPr>
          <w:p w14:paraId="6FB38858" w14:textId="2B08DCC8" w:rsidR="00201484" w:rsidRPr="00451862" w:rsidRDefault="00E46A7A" w:rsidP="00D14962">
            <w:r>
              <w:t>PI salary</w:t>
            </w:r>
          </w:p>
        </w:tc>
        <w:tc>
          <w:tcPr>
            <w:tcW w:w="3510" w:type="dxa"/>
          </w:tcPr>
          <w:p w14:paraId="55829519" w14:textId="77777777" w:rsidR="00201484" w:rsidRPr="00451862" w:rsidRDefault="00201484" w:rsidP="00D14962"/>
        </w:tc>
        <w:tc>
          <w:tcPr>
            <w:tcW w:w="2245" w:type="dxa"/>
          </w:tcPr>
          <w:p w14:paraId="0D9EC71D" w14:textId="409B1599" w:rsidR="00201484" w:rsidRPr="00451862" w:rsidRDefault="00E55E0F" w:rsidP="00D14962">
            <w:r w:rsidRPr="00451862">
              <w:t>$</w:t>
            </w:r>
            <w:r w:rsidR="00E46A7A">
              <w:t xml:space="preserve"> 5,088.00</w:t>
            </w:r>
          </w:p>
        </w:tc>
      </w:tr>
      <w:tr w:rsidR="00201484" w:rsidRPr="00451862" w14:paraId="1A8D6406" w14:textId="77777777" w:rsidTr="00FD699D">
        <w:trPr>
          <w:cantSplit/>
          <w:tblHeader/>
        </w:trPr>
        <w:tc>
          <w:tcPr>
            <w:tcW w:w="3600" w:type="dxa"/>
          </w:tcPr>
          <w:p w14:paraId="5A348FED" w14:textId="1B6F7840" w:rsidR="00201484" w:rsidRPr="00451862" w:rsidRDefault="00E46A7A" w:rsidP="00D14962">
            <w:r>
              <w:t>Student workers - summer</w:t>
            </w:r>
          </w:p>
        </w:tc>
        <w:tc>
          <w:tcPr>
            <w:tcW w:w="3510" w:type="dxa"/>
          </w:tcPr>
          <w:p w14:paraId="2D8260E6" w14:textId="28B68CB7" w:rsidR="00201484" w:rsidRPr="00451862" w:rsidRDefault="00E46A7A" w:rsidP="00D14962">
            <w:r>
              <w:t>2 student workers full time in the summer</w:t>
            </w:r>
          </w:p>
        </w:tc>
        <w:tc>
          <w:tcPr>
            <w:tcW w:w="2245" w:type="dxa"/>
          </w:tcPr>
          <w:p w14:paraId="7DCC1D4F" w14:textId="10514FB2" w:rsidR="00201484" w:rsidRPr="00451862" w:rsidRDefault="00E55E0F" w:rsidP="00D14962">
            <w:r w:rsidRPr="00451862">
              <w:t>$</w:t>
            </w:r>
            <w:r w:rsidR="00E46A7A">
              <w:t xml:space="preserve"> 9,000.00</w:t>
            </w:r>
          </w:p>
        </w:tc>
      </w:tr>
      <w:tr w:rsidR="00201484" w:rsidRPr="00451862" w14:paraId="3ADC70FD" w14:textId="77777777" w:rsidTr="00FD699D">
        <w:trPr>
          <w:cantSplit/>
          <w:tblHeader/>
        </w:trPr>
        <w:tc>
          <w:tcPr>
            <w:tcW w:w="3600" w:type="dxa"/>
          </w:tcPr>
          <w:p w14:paraId="3D430BA1" w14:textId="4D2A47EC" w:rsidR="00201484" w:rsidRPr="00451862" w:rsidRDefault="00E46A7A" w:rsidP="00D14962">
            <w:r>
              <w:t>Student workers – school year</w:t>
            </w:r>
          </w:p>
        </w:tc>
        <w:tc>
          <w:tcPr>
            <w:tcW w:w="3510" w:type="dxa"/>
          </w:tcPr>
          <w:p w14:paraId="5021E3F9" w14:textId="543918CE" w:rsidR="00201484" w:rsidRPr="00451862" w:rsidRDefault="00E46A7A" w:rsidP="00D14962">
            <w:r>
              <w:t>2 student workers part time in the school year</w:t>
            </w:r>
          </w:p>
        </w:tc>
        <w:tc>
          <w:tcPr>
            <w:tcW w:w="2245" w:type="dxa"/>
          </w:tcPr>
          <w:p w14:paraId="3F33A20C" w14:textId="3F9CC4FF" w:rsidR="00201484" w:rsidRPr="00451862" w:rsidRDefault="00E55E0F" w:rsidP="00D14962">
            <w:r w:rsidRPr="00451862">
              <w:t>$</w:t>
            </w:r>
            <w:r w:rsidR="00E46A7A">
              <w:t xml:space="preserve"> 7,200.00</w:t>
            </w:r>
          </w:p>
        </w:tc>
      </w:tr>
      <w:tr w:rsidR="00201484" w:rsidRPr="00451862" w14:paraId="0C42B56F" w14:textId="77777777" w:rsidTr="00FD699D">
        <w:trPr>
          <w:cantSplit/>
          <w:tblHeader/>
        </w:trPr>
        <w:tc>
          <w:tcPr>
            <w:tcW w:w="3600" w:type="dxa"/>
            <w:tcBorders>
              <w:bottom w:val="single" w:sz="24" w:space="0" w:color="auto"/>
            </w:tcBorders>
          </w:tcPr>
          <w:p w14:paraId="35E77074" w14:textId="0E29813D" w:rsidR="00201484" w:rsidRPr="00451862" w:rsidRDefault="00E46A7A" w:rsidP="00D14962">
            <w:r>
              <w:t>ARM staff time</w:t>
            </w:r>
          </w:p>
        </w:tc>
        <w:tc>
          <w:tcPr>
            <w:tcW w:w="3510" w:type="dxa"/>
            <w:tcBorders>
              <w:bottom w:val="single" w:sz="24" w:space="0" w:color="auto"/>
            </w:tcBorders>
          </w:tcPr>
          <w:p w14:paraId="0AD1E41E" w14:textId="0D66442F" w:rsidR="00201484" w:rsidRPr="00451862" w:rsidRDefault="00E46A7A" w:rsidP="006D4544">
            <w:r>
              <w:t xml:space="preserve">ARM to provide staff time </w:t>
            </w:r>
          </w:p>
        </w:tc>
        <w:tc>
          <w:tcPr>
            <w:tcW w:w="2245" w:type="dxa"/>
            <w:tcBorders>
              <w:bottom w:val="single" w:sz="24" w:space="0" w:color="auto"/>
            </w:tcBorders>
          </w:tcPr>
          <w:p w14:paraId="3128FB70" w14:textId="086ED0AA" w:rsidR="00201484" w:rsidRPr="00451862" w:rsidRDefault="00E55E0F" w:rsidP="00D14962">
            <w:r w:rsidRPr="00451862">
              <w:t>$</w:t>
            </w:r>
            <w:r w:rsidR="00E46A7A">
              <w:t xml:space="preserve"> 8,100.00</w:t>
            </w:r>
          </w:p>
        </w:tc>
      </w:tr>
      <w:tr w:rsidR="00201484" w:rsidRPr="00451862" w14:paraId="6BF8F347" w14:textId="77777777" w:rsidTr="00FD699D">
        <w:trPr>
          <w:cantSplit/>
          <w:tblHeader/>
        </w:trPr>
        <w:tc>
          <w:tcPr>
            <w:tcW w:w="3600" w:type="dxa"/>
            <w:tcBorders>
              <w:top w:val="single" w:sz="24" w:space="0" w:color="auto"/>
            </w:tcBorders>
          </w:tcPr>
          <w:p w14:paraId="76370A36" w14:textId="77777777" w:rsidR="00201484" w:rsidRPr="00451862" w:rsidRDefault="00ED327C" w:rsidP="00D14962">
            <w:r w:rsidRPr="00451862">
              <w:t xml:space="preserve">B. </w:t>
            </w:r>
            <w:r w:rsidR="00201484" w:rsidRPr="00451862">
              <w:t>Fringe Benefits</w:t>
            </w:r>
          </w:p>
        </w:tc>
        <w:tc>
          <w:tcPr>
            <w:tcW w:w="3510" w:type="dxa"/>
            <w:tcBorders>
              <w:top w:val="single" w:sz="24" w:space="0" w:color="auto"/>
            </w:tcBorders>
          </w:tcPr>
          <w:p w14:paraId="388F9DDF" w14:textId="77777777" w:rsidR="00201484" w:rsidRPr="00451862" w:rsidRDefault="005B286D" w:rsidP="00D14962">
            <w:r w:rsidRPr="00451862">
              <w:t>Total Fringe Benefits</w:t>
            </w:r>
          </w:p>
        </w:tc>
        <w:tc>
          <w:tcPr>
            <w:tcW w:w="2245" w:type="dxa"/>
            <w:tcBorders>
              <w:top w:val="single" w:sz="24" w:space="0" w:color="auto"/>
            </w:tcBorders>
          </w:tcPr>
          <w:p w14:paraId="78A84F59" w14:textId="7CE77B48" w:rsidR="00201484" w:rsidRPr="00451862" w:rsidRDefault="00201484" w:rsidP="00D14962">
            <w:r w:rsidRPr="00451862">
              <w:t>$</w:t>
            </w:r>
            <w:r w:rsidR="00E46A7A">
              <w:t xml:space="preserve"> 1,077.73</w:t>
            </w:r>
          </w:p>
        </w:tc>
      </w:tr>
      <w:tr w:rsidR="00201484" w:rsidRPr="00451862" w14:paraId="7930FBC3" w14:textId="77777777" w:rsidTr="00FD699D">
        <w:trPr>
          <w:cantSplit/>
          <w:tblHeader/>
        </w:trPr>
        <w:tc>
          <w:tcPr>
            <w:tcW w:w="3600" w:type="dxa"/>
            <w:tcBorders>
              <w:top w:val="single" w:sz="24" w:space="0" w:color="auto"/>
            </w:tcBorders>
          </w:tcPr>
          <w:p w14:paraId="0D5EDB00" w14:textId="77777777" w:rsidR="00201484" w:rsidRPr="00451862" w:rsidRDefault="00ED327C" w:rsidP="00D14962">
            <w:r w:rsidRPr="00451862">
              <w:t xml:space="preserve">C. </w:t>
            </w:r>
            <w:r w:rsidR="00201484" w:rsidRPr="00451862">
              <w:t>Non-Salary</w:t>
            </w:r>
            <w:r w:rsidRPr="00451862">
              <w:tab/>
            </w:r>
          </w:p>
        </w:tc>
        <w:tc>
          <w:tcPr>
            <w:tcW w:w="3510" w:type="dxa"/>
            <w:tcBorders>
              <w:top w:val="single" w:sz="24" w:space="0" w:color="auto"/>
            </w:tcBorders>
          </w:tcPr>
          <w:p w14:paraId="0B043405" w14:textId="77777777" w:rsidR="00201484" w:rsidRPr="00451862" w:rsidRDefault="00E84E63" w:rsidP="00D14962">
            <w:r w:rsidRPr="00451862">
              <w:t>Total Non-Salary</w:t>
            </w:r>
          </w:p>
        </w:tc>
        <w:tc>
          <w:tcPr>
            <w:tcW w:w="2245" w:type="dxa"/>
            <w:tcBorders>
              <w:top w:val="single" w:sz="24" w:space="0" w:color="auto"/>
            </w:tcBorders>
          </w:tcPr>
          <w:p w14:paraId="3B4C4CF4" w14:textId="7525B33D" w:rsidR="00201484" w:rsidRPr="00451862" w:rsidRDefault="00201484" w:rsidP="00D14962"/>
        </w:tc>
      </w:tr>
      <w:tr w:rsidR="00ED327C" w:rsidRPr="00451862" w14:paraId="1A44323E" w14:textId="77777777" w:rsidTr="00FD699D">
        <w:trPr>
          <w:cantSplit/>
          <w:tblHeader/>
        </w:trPr>
        <w:tc>
          <w:tcPr>
            <w:tcW w:w="3600" w:type="dxa"/>
            <w:tcBorders>
              <w:bottom w:val="single" w:sz="24" w:space="0" w:color="auto"/>
            </w:tcBorders>
          </w:tcPr>
          <w:p w14:paraId="673760D9" w14:textId="77777777" w:rsidR="00ED327C" w:rsidRPr="00451862" w:rsidRDefault="00ED327C" w:rsidP="00D14962"/>
        </w:tc>
        <w:tc>
          <w:tcPr>
            <w:tcW w:w="3510" w:type="dxa"/>
            <w:tcBorders>
              <w:bottom w:val="single" w:sz="24" w:space="0" w:color="auto"/>
            </w:tcBorders>
          </w:tcPr>
          <w:p w14:paraId="528B4C28" w14:textId="77777777" w:rsidR="00ED327C" w:rsidRPr="00451862" w:rsidRDefault="00ED327C" w:rsidP="00D14962"/>
        </w:tc>
        <w:tc>
          <w:tcPr>
            <w:tcW w:w="2245" w:type="dxa"/>
            <w:tcBorders>
              <w:bottom w:val="single" w:sz="24" w:space="0" w:color="auto"/>
            </w:tcBorders>
          </w:tcPr>
          <w:p w14:paraId="44F586E1" w14:textId="459AA279" w:rsidR="00ED327C" w:rsidRPr="00451862" w:rsidRDefault="00ED327C" w:rsidP="00D14962">
            <w:r w:rsidRPr="00451862">
              <w:t xml:space="preserve"> </w:t>
            </w:r>
          </w:p>
        </w:tc>
      </w:tr>
      <w:tr w:rsidR="00201484" w:rsidRPr="00451862" w14:paraId="084B0300" w14:textId="77777777" w:rsidTr="00FD699D">
        <w:trPr>
          <w:cantSplit/>
          <w:tblHeader/>
        </w:trPr>
        <w:tc>
          <w:tcPr>
            <w:tcW w:w="3600" w:type="dxa"/>
            <w:tcBorders>
              <w:top w:val="single" w:sz="24" w:space="0" w:color="auto"/>
              <w:bottom w:val="single" w:sz="24" w:space="0" w:color="auto"/>
            </w:tcBorders>
          </w:tcPr>
          <w:p w14:paraId="45483975" w14:textId="77777777" w:rsidR="00201484" w:rsidRPr="00451862" w:rsidRDefault="00ED327C" w:rsidP="00D14962">
            <w:r w:rsidRPr="00451862">
              <w:t xml:space="preserve">D. </w:t>
            </w:r>
            <w:r w:rsidR="00201484" w:rsidRPr="00451862">
              <w:t>Equipment:</w:t>
            </w:r>
          </w:p>
        </w:tc>
        <w:tc>
          <w:tcPr>
            <w:tcW w:w="3510" w:type="dxa"/>
            <w:tcBorders>
              <w:top w:val="single" w:sz="24" w:space="0" w:color="auto"/>
              <w:bottom w:val="single" w:sz="24" w:space="0" w:color="auto"/>
            </w:tcBorders>
          </w:tcPr>
          <w:p w14:paraId="7ED11B89" w14:textId="77777777" w:rsidR="00201484" w:rsidRPr="00451862" w:rsidRDefault="00201484" w:rsidP="00D14962"/>
        </w:tc>
        <w:tc>
          <w:tcPr>
            <w:tcW w:w="2245" w:type="dxa"/>
            <w:tcBorders>
              <w:top w:val="single" w:sz="24" w:space="0" w:color="auto"/>
              <w:bottom w:val="single" w:sz="24" w:space="0" w:color="auto"/>
            </w:tcBorders>
          </w:tcPr>
          <w:p w14:paraId="371A5566" w14:textId="4615CBE3" w:rsidR="00201484" w:rsidRPr="00451862" w:rsidRDefault="00201484" w:rsidP="00D14962"/>
        </w:tc>
      </w:tr>
      <w:tr w:rsidR="00201484" w:rsidRPr="00451862" w14:paraId="2BB9873A" w14:textId="77777777" w:rsidTr="00FD699D">
        <w:trPr>
          <w:cantSplit/>
          <w:tblHeader/>
        </w:trPr>
        <w:tc>
          <w:tcPr>
            <w:tcW w:w="3600" w:type="dxa"/>
            <w:tcBorders>
              <w:top w:val="single" w:sz="24" w:space="0" w:color="auto"/>
              <w:bottom w:val="single" w:sz="24" w:space="0" w:color="auto"/>
            </w:tcBorders>
          </w:tcPr>
          <w:p w14:paraId="40BEBB6A" w14:textId="77777777" w:rsidR="00201484" w:rsidRPr="00451862" w:rsidRDefault="00ED327C" w:rsidP="00D14962">
            <w:r w:rsidRPr="00451862">
              <w:t xml:space="preserve">E. </w:t>
            </w:r>
            <w:r w:rsidR="00201484" w:rsidRPr="00451862">
              <w:t>Supplies:</w:t>
            </w:r>
          </w:p>
        </w:tc>
        <w:tc>
          <w:tcPr>
            <w:tcW w:w="3510" w:type="dxa"/>
            <w:tcBorders>
              <w:top w:val="single" w:sz="24" w:space="0" w:color="auto"/>
              <w:bottom w:val="single" w:sz="24" w:space="0" w:color="auto"/>
            </w:tcBorders>
          </w:tcPr>
          <w:p w14:paraId="7028B5FC" w14:textId="7F926E90" w:rsidR="00201484" w:rsidRPr="00451862" w:rsidRDefault="006D4544" w:rsidP="00D14962">
            <w:r>
              <w:t>Misc. lab supplies (ex. cylinder molds)</w:t>
            </w:r>
          </w:p>
        </w:tc>
        <w:tc>
          <w:tcPr>
            <w:tcW w:w="2245" w:type="dxa"/>
            <w:tcBorders>
              <w:top w:val="single" w:sz="24" w:space="0" w:color="auto"/>
              <w:bottom w:val="single" w:sz="24" w:space="0" w:color="auto"/>
            </w:tcBorders>
          </w:tcPr>
          <w:p w14:paraId="64DA74A3" w14:textId="2194FF5A" w:rsidR="00201484" w:rsidRPr="00451862" w:rsidRDefault="00201484" w:rsidP="00D14962">
            <w:r w:rsidRPr="00451862">
              <w:t>$</w:t>
            </w:r>
            <w:r w:rsidR="006D4544">
              <w:t xml:space="preserve"> 500.00</w:t>
            </w:r>
          </w:p>
        </w:tc>
      </w:tr>
      <w:tr w:rsidR="00201484" w:rsidRPr="00451862" w14:paraId="61C3A9DE" w14:textId="77777777" w:rsidTr="00FD699D">
        <w:trPr>
          <w:cantSplit/>
          <w:tblHeader/>
        </w:trPr>
        <w:tc>
          <w:tcPr>
            <w:tcW w:w="3600" w:type="dxa"/>
            <w:tcBorders>
              <w:top w:val="single" w:sz="24" w:space="0" w:color="auto"/>
              <w:bottom w:val="single" w:sz="24" w:space="0" w:color="auto"/>
            </w:tcBorders>
          </w:tcPr>
          <w:p w14:paraId="07859923" w14:textId="77777777" w:rsidR="00201484" w:rsidRPr="00451862" w:rsidRDefault="00ED327C" w:rsidP="00D14962">
            <w:r w:rsidRPr="00451862">
              <w:t xml:space="preserve">F. </w:t>
            </w:r>
            <w:r w:rsidR="00B0347F" w:rsidRPr="00451862">
              <w:t xml:space="preserve">Research </w:t>
            </w:r>
            <w:r w:rsidR="00201484" w:rsidRPr="00451862">
              <w:t xml:space="preserve">Travel: </w:t>
            </w:r>
          </w:p>
        </w:tc>
        <w:tc>
          <w:tcPr>
            <w:tcW w:w="3510" w:type="dxa"/>
            <w:tcBorders>
              <w:top w:val="single" w:sz="24" w:space="0" w:color="auto"/>
              <w:bottom w:val="single" w:sz="24" w:space="0" w:color="auto"/>
            </w:tcBorders>
          </w:tcPr>
          <w:p w14:paraId="2B5077C2" w14:textId="77777777" w:rsidR="00201484" w:rsidRPr="00451862" w:rsidRDefault="00201484" w:rsidP="00D14962"/>
        </w:tc>
        <w:tc>
          <w:tcPr>
            <w:tcW w:w="2245" w:type="dxa"/>
            <w:tcBorders>
              <w:top w:val="single" w:sz="24" w:space="0" w:color="auto"/>
              <w:bottom w:val="single" w:sz="24" w:space="0" w:color="auto"/>
            </w:tcBorders>
          </w:tcPr>
          <w:p w14:paraId="490F0F1D" w14:textId="50632D49" w:rsidR="00201484" w:rsidRPr="00451862" w:rsidRDefault="00201484" w:rsidP="00D14962"/>
        </w:tc>
      </w:tr>
      <w:tr w:rsidR="009E310D" w:rsidRPr="00451862" w14:paraId="124A6C37" w14:textId="77777777" w:rsidTr="00FD699D">
        <w:trPr>
          <w:cantSplit/>
          <w:tblHeader/>
        </w:trPr>
        <w:tc>
          <w:tcPr>
            <w:tcW w:w="3600" w:type="dxa"/>
            <w:tcBorders>
              <w:top w:val="single" w:sz="24" w:space="0" w:color="auto"/>
              <w:bottom w:val="single" w:sz="24" w:space="0" w:color="auto"/>
            </w:tcBorders>
          </w:tcPr>
          <w:p w14:paraId="2A589DCA" w14:textId="77777777" w:rsidR="009E310D" w:rsidRPr="00451862" w:rsidRDefault="00ED327C" w:rsidP="00D14962">
            <w:r w:rsidRPr="00451862">
              <w:t xml:space="preserve">G. </w:t>
            </w:r>
            <w:r w:rsidR="009E310D" w:rsidRPr="00451862">
              <w:t xml:space="preserve">Out of State </w:t>
            </w:r>
            <w:r w:rsidR="00223875" w:rsidRPr="00451862">
              <w:t xml:space="preserve">Conference </w:t>
            </w:r>
            <w:r w:rsidR="009E310D" w:rsidRPr="00451862">
              <w:t>Travel:</w:t>
            </w:r>
          </w:p>
        </w:tc>
        <w:tc>
          <w:tcPr>
            <w:tcW w:w="3510" w:type="dxa"/>
            <w:tcBorders>
              <w:top w:val="single" w:sz="24" w:space="0" w:color="auto"/>
              <w:bottom w:val="single" w:sz="24" w:space="0" w:color="auto"/>
            </w:tcBorders>
          </w:tcPr>
          <w:p w14:paraId="24AA16B1" w14:textId="77777777" w:rsidR="009E310D" w:rsidRPr="00451862" w:rsidRDefault="009E310D" w:rsidP="00D14962"/>
        </w:tc>
        <w:tc>
          <w:tcPr>
            <w:tcW w:w="2245" w:type="dxa"/>
            <w:tcBorders>
              <w:top w:val="single" w:sz="24" w:space="0" w:color="auto"/>
              <w:bottom w:val="single" w:sz="24" w:space="0" w:color="auto"/>
            </w:tcBorders>
          </w:tcPr>
          <w:p w14:paraId="2C3542A5" w14:textId="14620837" w:rsidR="009E310D" w:rsidRPr="00451862" w:rsidRDefault="009E310D" w:rsidP="00D14962"/>
        </w:tc>
      </w:tr>
      <w:tr w:rsidR="00201484" w:rsidRPr="00451862" w14:paraId="51C4A1AB" w14:textId="77777777" w:rsidTr="00FD699D">
        <w:trPr>
          <w:cantSplit/>
          <w:tblHeader/>
        </w:trPr>
        <w:tc>
          <w:tcPr>
            <w:tcW w:w="3600" w:type="dxa"/>
            <w:tcBorders>
              <w:top w:val="single" w:sz="24" w:space="0" w:color="auto"/>
            </w:tcBorders>
          </w:tcPr>
          <w:p w14:paraId="4C263D44" w14:textId="77777777" w:rsidR="00201484" w:rsidRPr="00451862" w:rsidRDefault="00ED327C" w:rsidP="00D14962">
            <w:r w:rsidRPr="00451862">
              <w:t xml:space="preserve">H. </w:t>
            </w:r>
            <w:r w:rsidR="00201484" w:rsidRPr="00451862">
              <w:t>Other: (describe)</w:t>
            </w:r>
          </w:p>
        </w:tc>
        <w:tc>
          <w:tcPr>
            <w:tcW w:w="3510" w:type="dxa"/>
            <w:tcBorders>
              <w:top w:val="single" w:sz="24" w:space="0" w:color="auto"/>
            </w:tcBorders>
          </w:tcPr>
          <w:p w14:paraId="720937E3" w14:textId="7D980080" w:rsidR="00201484" w:rsidRPr="00451862" w:rsidRDefault="006D4544" w:rsidP="00D14962">
            <w:r>
              <w:t>ARM in-kind contribution of materials (cement, aggregate, etc.)</w:t>
            </w:r>
          </w:p>
        </w:tc>
        <w:tc>
          <w:tcPr>
            <w:tcW w:w="2245" w:type="dxa"/>
            <w:tcBorders>
              <w:top w:val="single" w:sz="24" w:space="0" w:color="auto"/>
            </w:tcBorders>
          </w:tcPr>
          <w:p w14:paraId="66B1E5AA" w14:textId="0F0FA3B0" w:rsidR="00201484" w:rsidRPr="00451862" w:rsidRDefault="00201484" w:rsidP="00D14962">
            <w:r w:rsidRPr="00451862">
              <w:t>$</w:t>
            </w:r>
            <w:r w:rsidR="006D4544">
              <w:t xml:space="preserve"> 1000.00</w:t>
            </w:r>
          </w:p>
        </w:tc>
      </w:tr>
      <w:tr w:rsidR="00201484" w:rsidRPr="00451862" w14:paraId="368769A6" w14:textId="77777777" w:rsidTr="00FD699D">
        <w:trPr>
          <w:cantSplit/>
          <w:tblHeader/>
        </w:trPr>
        <w:tc>
          <w:tcPr>
            <w:tcW w:w="3600" w:type="dxa"/>
            <w:tcBorders>
              <w:top w:val="single" w:sz="24" w:space="0" w:color="auto"/>
              <w:bottom w:val="single" w:sz="24" w:space="0" w:color="auto"/>
            </w:tcBorders>
          </w:tcPr>
          <w:p w14:paraId="7F7B0112" w14:textId="77777777" w:rsidR="00201484" w:rsidRPr="00451862" w:rsidRDefault="00ED327C" w:rsidP="00D14962">
            <w:pPr>
              <w:rPr>
                <w:vertAlign w:val="superscript"/>
              </w:rPr>
            </w:pPr>
            <w:r w:rsidRPr="00451862">
              <w:t xml:space="preserve">I. </w:t>
            </w:r>
            <w:r w:rsidR="00201484" w:rsidRPr="00451862">
              <w:t>Subcon</w:t>
            </w:r>
            <w:r w:rsidR="00885413" w:rsidRPr="00451862">
              <w:t>tractors*</w:t>
            </w:r>
          </w:p>
        </w:tc>
        <w:tc>
          <w:tcPr>
            <w:tcW w:w="3510" w:type="dxa"/>
            <w:tcBorders>
              <w:top w:val="single" w:sz="24" w:space="0" w:color="auto"/>
              <w:bottom w:val="single" w:sz="24" w:space="0" w:color="auto"/>
            </w:tcBorders>
          </w:tcPr>
          <w:p w14:paraId="2CE51B95" w14:textId="77777777" w:rsidR="00201484" w:rsidRPr="00451862" w:rsidRDefault="00201484" w:rsidP="00D14962"/>
        </w:tc>
        <w:tc>
          <w:tcPr>
            <w:tcW w:w="2245" w:type="dxa"/>
            <w:tcBorders>
              <w:top w:val="single" w:sz="24" w:space="0" w:color="auto"/>
              <w:bottom w:val="single" w:sz="24" w:space="0" w:color="auto"/>
            </w:tcBorders>
          </w:tcPr>
          <w:p w14:paraId="6C5FE956" w14:textId="08834D91" w:rsidR="00201484" w:rsidRPr="00451862" w:rsidRDefault="00201484" w:rsidP="00D14962"/>
        </w:tc>
      </w:tr>
      <w:tr w:rsidR="00201484" w:rsidRPr="00451862" w14:paraId="7FE6CD1B" w14:textId="77777777" w:rsidTr="00FD699D">
        <w:trPr>
          <w:cantSplit/>
          <w:tblHeader/>
        </w:trPr>
        <w:tc>
          <w:tcPr>
            <w:tcW w:w="3600" w:type="dxa"/>
            <w:tcBorders>
              <w:top w:val="single" w:sz="24" w:space="0" w:color="auto"/>
              <w:bottom w:val="single" w:sz="24" w:space="0" w:color="auto"/>
            </w:tcBorders>
          </w:tcPr>
          <w:p w14:paraId="03ECE43E" w14:textId="77777777" w:rsidR="00201484" w:rsidRPr="00451862" w:rsidRDefault="00ED327C" w:rsidP="00D14962">
            <w:r w:rsidRPr="00451862">
              <w:t xml:space="preserve">J. </w:t>
            </w:r>
            <w:r w:rsidR="00201484" w:rsidRPr="00451862">
              <w:t>Total Direct Cost</w:t>
            </w:r>
          </w:p>
        </w:tc>
        <w:tc>
          <w:tcPr>
            <w:tcW w:w="3510" w:type="dxa"/>
            <w:tcBorders>
              <w:top w:val="single" w:sz="24" w:space="0" w:color="auto"/>
              <w:bottom w:val="single" w:sz="24" w:space="0" w:color="auto"/>
            </w:tcBorders>
          </w:tcPr>
          <w:p w14:paraId="31FCD752" w14:textId="77777777" w:rsidR="00201484" w:rsidRPr="00451862" w:rsidRDefault="00201484" w:rsidP="00D14962"/>
        </w:tc>
        <w:tc>
          <w:tcPr>
            <w:tcW w:w="2245" w:type="dxa"/>
            <w:tcBorders>
              <w:top w:val="single" w:sz="24" w:space="0" w:color="auto"/>
              <w:bottom w:val="single" w:sz="24" w:space="0" w:color="auto"/>
            </w:tcBorders>
          </w:tcPr>
          <w:p w14:paraId="4BDD327D" w14:textId="1ABD9AC6" w:rsidR="00201484" w:rsidRPr="00451862" w:rsidRDefault="00201484" w:rsidP="00D14962">
            <w:r w:rsidRPr="00451862">
              <w:t>$</w:t>
            </w:r>
            <w:r w:rsidR="00A65DE2">
              <w:t xml:space="preserve"> 30,888.00</w:t>
            </w:r>
          </w:p>
        </w:tc>
      </w:tr>
      <w:tr w:rsidR="00201484" w:rsidRPr="00451862" w14:paraId="232B3F1B" w14:textId="77777777" w:rsidTr="00FD699D">
        <w:trPr>
          <w:cantSplit/>
          <w:tblHeader/>
        </w:trPr>
        <w:tc>
          <w:tcPr>
            <w:tcW w:w="3600" w:type="dxa"/>
            <w:tcBorders>
              <w:top w:val="single" w:sz="24" w:space="0" w:color="auto"/>
              <w:bottom w:val="single" w:sz="24" w:space="0" w:color="auto"/>
            </w:tcBorders>
          </w:tcPr>
          <w:p w14:paraId="545793FF" w14:textId="3B4DE55D" w:rsidR="00201484" w:rsidRPr="00451862" w:rsidRDefault="00ED327C" w:rsidP="00D14962">
            <w:r w:rsidRPr="00451862">
              <w:t xml:space="preserve">K. </w:t>
            </w:r>
            <w:r w:rsidR="00201484" w:rsidRPr="00451862">
              <w:t xml:space="preserve">Indirect Costs </w:t>
            </w:r>
            <w:r w:rsidR="00A65DE2">
              <w:t>**</w:t>
            </w:r>
          </w:p>
        </w:tc>
        <w:tc>
          <w:tcPr>
            <w:tcW w:w="3510" w:type="dxa"/>
            <w:tcBorders>
              <w:top w:val="single" w:sz="24" w:space="0" w:color="auto"/>
              <w:bottom w:val="single" w:sz="24" w:space="0" w:color="auto"/>
            </w:tcBorders>
          </w:tcPr>
          <w:p w14:paraId="3ED57BF9" w14:textId="4C9AC0B3" w:rsidR="00201484" w:rsidRPr="00451862" w:rsidRDefault="00201484" w:rsidP="00D14962">
            <w:r w:rsidRPr="00451862">
              <w:t xml:space="preserve">Indirect Cost Rate: </w:t>
            </w:r>
            <w:r w:rsidR="006D4544">
              <w:t xml:space="preserve">41.4% </w:t>
            </w:r>
          </w:p>
        </w:tc>
        <w:tc>
          <w:tcPr>
            <w:tcW w:w="2245" w:type="dxa"/>
            <w:tcBorders>
              <w:top w:val="single" w:sz="24" w:space="0" w:color="auto"/>
              <w:bottom w:val="single" w:sz="24" w:space="0" w:color="auto"/>
            </w:tcBorders>
          </w:tcPr>
          <w:p w14:paraId="1F01CD3C" w14:textId="47D67D93" w:rsidR="00201484" w:rsidRPr="00451862" w:rsidRDefault="00201484" w:rsidP="00D14962">
            <w:r w:rsidRPr="00451862">
              <w:t>$</w:t>
            </w:r>
            <w:r w:rsidR="006D4544">
              <w:t xml:space="preserve"> 9,466.41</w:t>
            </w:r>
          </w:p>
        </w:tc>
      </w:tr>
      <w:tr w:rsidR="00201484" w:rsidRPr="00451862" w14:paraId="62FDDC93" w14:textId="77777777" w:rsidTr="00FD699D">
        <w:trPr>
          <w:cantSplit/>
          <w:tblHeader/>
        </w:trPr>
        <w:tc>
          <w:tcPr>
            <w:tcW w:w="3600" w:type="dxa"/>
            <w:tcBorders>
              <w:top w:val="single" w:sz="24" w:space="0" w:color="auto"/>
            </w:tcBorders>
          </w:tcPr>
          <w:p w14:paraId="4D20AD26" w14:textId="77777777" w:rsidR="00201484" w:rsidRPr="00451862" w:rsidRDefault="00ED327C" w:rsidP="00D14962">
            <w:r w:rsidRPr="00451862">
              <w:t>Project Total Cost</w:t>
            </w:r>
          </w:p>
        </w:tc>
        <w:tc>
          <w:tcPr>
            <w:tcW w:w="3510" w:type="dxa"/>
            <w:tcBorders>
              <w:top w:val="single" w:sz="24" w:space="0" w:color="auto"/>
            </w:tcBorders>
          </w:tcPr>
          <w:p w14:paraId="799F6970" w14:textId="64A58897" w:rsidR="00201484" w:rsidRPr="00451862" w:rsidRDefault="00201484" w:rsidP="00D14962"/>
        </w:tc>
        <w:tc>
          <w:tcPr>
            <w:tcW w:w="2245" w:type="dxa"/>
            <w:tcBorders>
              <w:top w:val="single" w:sz="24" w:space="0" w:color="auto"/>
            </w:tcBorders>
          </w:tcPr>
          <w:p w14:paraId="739CD755" w14:textId="78BCE2DD" w:rsidR="00201484" w:rsidRPr="00451862" w:rsidRDefault="00201484" w:rsidP="00D14962">
            <w:r w:rsidRPr="00451862">
              <w:t>$</w:t>
            </w:r>
            <w:r w:rsidR="006D4544">
              <w:t>41,432.15</w:t>
            </w:r>
          </w:p>
        </w:tc>
      </w:tr>
    </w:tbl>
    <w:p w14:paraId="4003E79E" w14:textId="3664FD66" w:rsidR="00201484" w:rsidRDefault="004F6770" w:rsidP="00D14962">
      <w:r w:rsidRPr="00451862">
        <w:t xml:space="preserve">* </w:t>
      </w:r>
      <w:r w:rsidR="00467F04" w:rsidRPr="00451862">
        <w:t>Total c</w:t>
      </w:r>
      <w:r w:rsidR="00196782" w:rsidRPr="00451862">
        <w:t xml:space="preserve">ost for </w:t>
      </w:r>
      <w:r w:rsidR="00F33376" w:rsidRPr="00451862">
        <w:t>academic and/or non-academic subcontractors</w:t>
      </w:r>
      <w:r w:rsidR="00201484" w:rsidRPr="00451862">
        <w:t xml:space="preserve"> </w:t>
      </w:r>
      <w:r w:rsidR="00467F04" w:rsidRPr="00451862">
        <w:t xml:space="preserve">shall not </w:t>
      </w:r>
      <w:r w:rsidR="00201484" w:rsidRPr="00451862">
        <w:t>exceed 50% of the total proposal budget</w:t>
      </w:r>
      <w:r w:rsidR="00467F04" w:rsidRPr="00451862">
        <w:t>.</w:t>
      </w:r>
    </w:p>
    <w:p w14:paraId="7A853463" w14:textId="1127BA26" w:rsidR="001F259D" w:rsidRDefault="00A65DE2" w:rsidP="003B53EC">
      <w:r>
        <w:t>**indirect cost rate shown does not include fringe</w:t>
      </w:r>
    </w:p>
    <w:p w14:paraId="3C1CF76E" w14:textId="3E4D1692" w:rsidR="003B53EC" w:rsidRDefault="003B53EC" w:rsidP="003B53EC"/>
    <w:p w14:paraId="5ADEF069" w14:textId="77777777" w:rsidR="003B53EC" w:rsidRDefault="003B53EC" w:rsidP="003B53EC">
      <w:r>
        <w:t xml:space="preserve">ARM will fund 22% of the project through the donation of materials, time, and expertise. ARM has committed to donating materials valued at $1000 as well as staff time valued at $8100. </w:t>
      </w:r>
    </w:p>
    <w:p w14:paraId="35B9D738" w14:textId="77777777" w:rsidR="003B53EC" w:rsidRDefault="003B53EC" w:rsidP="003B53EC"/>
    <w:p w14:paraId="3582487A" w14:textId="77777777" w:rsidR="003B53EC" w:rsidRDefault="003B53EC" w:rsidP="003B53EC">
      <w:r>
        <w:t>The equipment and supplies values in the budget include the purchase value of the aggregates as well as cement and any required admixtures and supplies such as cylinder molds. The staff time is based on the university standard rate for the principle investigator to oversee student workers. The student worker stipends are based on a $12/</w:t>
      </w:r>
      <w:proofErr w:type="spellStart"/>
      <w:r>
        <w:t>hr</w:t>
      </w:r>
      <w:proofErr w:type="spellEnd"/>
      <w:r>
        <w:t xml:space="preserve"> rate for 10 hours per week in the academic year and 30 hours per week in the summer.</w:t>
      </w:r>
    </w:p>
    <w:p w14:paraId="62232E95" w14:textId="77777777" w:rsidR="003B53EC" w:rsidRDefault="003B53EC" w:rsidP="003B53EC"/>
    <w:p w14:paraId="7ABF0828" w14:textId="77777777" w:rsidR="003B53EC" w:rsidRDefault="003B53EC" w:rsidP="003B53EC">
      <w:r>
        <w:lastRenderedPageBreak/>
        <w:t>While the budget for student workers may appear smaller than is typical, it should be noted that all student workers at the University of St. Thomas are undergraduates and therefore do not require the same level of support as the graduate students used at other institutions. The student workers on this project will be performing tasks such as mixing concrete under the supervision of the principle investigator. These tasks are well within the capabilities of properly trained undergraduate students and are similar to tasks they perform in their construction materials class. Additionally, this type of research experience can help introduce undergraduate students to the field of concrete materials research and influence their decisions regarding future career paths and graduate school.</w:t>
      </w:r>
    </w:p>
    <w:p w14:paraId="0DA8D44E" w14:textId="77777777" w:rsidR="003B53EC" w:rsidRDefault="003B53EC" w:rsidP="003B53EC"/>
    <w:p w14:paraId="2E67B030" w14:textId="43D074FC" w:rsidR="003B53EC" w:rsidRDefault="003B53EC" w:rsidP="003B53EC">
      <w:r>
        <w:t xml:space="preserve">The existing lab facilities at the university will be used for the majority of the testing. To support this research, the University of St. Thomas will also provide any assistance required from the lab manager. </w:t>
      </w:r>
    </w:p>
    <w:p w14:paraId="6E0E5698" w14:textId="77777777" w:rsidR="00050AED" w:rsidRPr="001E5CDD" w:rsidRDefault="00050AED" w:rsidP="00050AED">
      <w:pPr>
        <w:pStyle w:val="Heading1"/>
      </w:pPr>
      <w:r>
        <w:t>Partnerships</w:t>
      </w:r>
    </w:p>
    <w:p w14:paraId="2C810E4C" w14:textId="56898498" w:rsidR="00050AED" w:rsidRDefault="00050AED" w:rsidP="00BC7E49">
      <w:pPr>
        <w:spacing w:after="160" w:line="259" w:lineRule="auto"/>
      </w:pPr>
      <w:r>
        <w:t xml:space="preserve">As discussed previously, ARM has agreed to support this project through the donation of materials, and expertise.  ARM will be available to answer questions regarding common industry practices and provide valuable feedback from a user perspective throughout the study. </w:t>
      </w:r>
    </w:p>
    <w:p w14:paraId="39F78EC9" w14:textId="7A3C0AB7" w:rsidR="006674EF" w:rsidRDefault="0044765F" w:rsidP="004D6705">
      <w:pPr>
        <w:pStyle w:val="Heading1"/>
      </w:pPr>
      <w:r w:rsidRPr="00196782">
        <w:t xml:space="preserve">References </w:t>
      </w:r>
    </w:p>
    <w:p w14:paraId="478E1782" w14:textId="1EE3027D" w:rsidR="004D6705" w:rsidRPr="004D6705" w:rsidRDefault="00FE7B38" w:rsidP="00380790">
      <w:pPr>
        <w:pStyle w:val="NormalWeb"/>
        <w:spacing w:before="0" w:beforeAutospacing="0" w:after="240" w:afterAutospacing="0"/>
        <w:contextualSpacing w:val="0"/>
        <w:rPr>
          <w:rFonts w:cs="Calibri"/>
        </w:rPr>
      </w:pPr>
      <w:r>
        <w:fldChar w:fldCharType="begin"/>
      </w:r>
      <w:r w:rsidR="004D6705">
        <w:instrText>ADDIN RW.BIB</w:instrText>
      </w:r>
      <w:r>
        <w:fldChar w:fldCharType="separate"/>
      </w:r>
      <w:r w:rsidR="004D6705" w:rsidRPr="004D6705">
        <w:rPr>
          <w:rFonts w:cs="Calibri"/>
        </w:rPr>
        <w:t>AASHTO. (2019). "AASHTO PP 84-19: Standard Practice for Developing Performance Engine</w:t>
      </w:r>
      <w:r w:rsidR="004D6705">
        <w:rPr>
          <w:rFonts w:cs="Calibri"/>
        </w:rPr>
        <w:t>ered Concrete Pavement Mixtures</w:t>
      </w:r>
      <w:r w:rsidR="004D6705" w:rsidRPr="004D6705">
        <w:rPr>
          <w:rFonts w:cs="Calibri"/>
        </w:rPr>
        <w:t>." American Association of State Highway and Transportation Officials, Washington D.C.</w:t>
      </w:r>
    </w:p>
    <w:p w14:paraId="3128B72F" w14:textId="77777777" w:rsidR="004D6705" w:rsidRPr="004D6705" w:rsidRDefault="004D6705" w:rsidP="00380790">
      <w:pPr>
        <w:pStyle w:val="NormalWeb"/>
        <w:spacing w:before="0" w:beforeAutospacing="0" w:after="240" w:afterAutospacing="0"/>
        <w:contextualSpacing w:val="0"/>
        <w:rPr>
          <w:rFonts w:cs="Calibri"/>
        </w:rPr>
      </w:pPr>
      <w:r w:rsidRPr="004D6705">
        <w:rPr>
          <w:rFonts w:cs="Calibri"/>
        </w:rPr>
        <w:t>AASHTO. (2017a). "AASHTO T358 Standard Method of Test for Surface Resistivity Indication of Concrete’s Ability to Resist Chloride Ion Penetration." American Association of State Highway and Transportation Officials, Washington D.C.</w:t>
      </w:r>
    </w:p>
    <w:p w14:paraId="02086191" w14:textId="77777777" w:rsidR="004D6705" w:rsidRPr="004D6705" w:rsidRDefault="004D6705" w:rsidP="00380790">
      <w:pPr>
        <w:pStyle w:val="NormalWeb"/>
        <w:spacing w:before="0" w:beforeAutospacing="0" w:after="240" w:afterAutospacing="0"/>
        <w:contextualSpacing w:val="0"/>
        <w:rPr>
          <w:rFonts w:cs="Calibri"/>
        </w:rPr>
      </w:pPr>
      <w:r w:rsidRPr="004D6705">
        <w:rPr>
          <w:rFonts w:cs="Calibri"/>
        </w:rPr>
        <w:t>AASHTO. (2017b). "AASHTO TP118 Standard Method of Test for Characterization of the Air-Void System of Freshly Mixed Concrete by the Sequential Pressure Method." American Association of State Highway and Transportation Officials, Washington D.C.</w:t>
      </w:r>
    </w:p>
    <w:p w14:paraId="1693A2D6" w14:textId="77777777" w:rsidR="004D6705" w:rsidRPr="004D6705" w:rsidRDefault="004D6705" w:rsidP="00380790">
      <w:pPr>
        <w:pStyle w:val="NormalWeb"/>
        <w:spacing w:before="0" w:beforeAutospacing="0" w:after="240" w:afterAutospacing="0"/>
        <w:contextualSpacing w:val="0"/>
        <w:rPr>
          <w:rFonts w:cs="Calibri"/>
        </w:rPr>
      </w:pPr>
      <w:r w:rsidRPr="004D6705">
        <w:rPr>
          <w:rFonts w:cs="Calibri"/>
        </w:rPr>
        <w:t>AASHTO. (2009). "AASHTO T336 Standard Method of Test for Coefficient of Thermal Expansion of Hydraulic Cement Concrete." American Association of State Highway and Transportation Officials, Washington DC.</w:t>
      </w:r>
    </w:p>
    <w:p w14:paraId="38DAB733" w14:textId="78BB0614" w:rsidR="004D6705" w:rsidRPr="004D6705" w:rsidRDefault="004D6705" w:rsidP="00380790">
      <w:pPr>
        <w:pStyle w:val="NormalWeb"/>
        <w:spacing w:before="0" w:beforeAutospacing="0" w:after="240" w:afterAutospacing="0"/>
        <w:contextualSpacing w:val="0"/>
        <w:rPr>
          <w:rFonts w:cs="Calibri"/>
        </w:rPr>
      </w:pPr>
      <w:r w:rsidRPr="004D6705">
        <w:rPr>
          <w:rFonts w:cs="Calibri"/>
        </w:rPr>
        <w:t>ASTM. (2019). "ASTM D2216: Standard Test Method for Laboratory Determination of Water (Moisture) C</w:t>
      </w:r>
      <w:r>
        <w:rPr>
          <w:rFonts w:cs="Calibri"/>
        </w:rPr>
        <w:t>ontent of Soil and Rock by Mass</w:t>
      </w:r>
      <w:r w:rsidRPr="004D6705">
        <w:rPr>
          <w:rFonts w:cs="Calibri"/>
        </w:rPr>
        <w:t>." ASTM International, West Conshohocken, PA.</w:t>
      </w:r>
    </w:p>
    <w:p w14:paraId="39B2E6A3" w14:textId="77777777" w:rsidR="004D6705" w:rsidRPr="004D6705" w:rsidRDefault="004D6705" w:rsidP="00380790">
      <w:pPr>
        <w:pStyle w:val="NormalWeb"/>
        <w:spacing w:before="0" w:beforeAutospacing="0" w:after="240" w:afterAutospacing="0"/>
        <w:contextualSpacing w:val="0"/>
        <w:rPr>
          <w:rFonts w:cs="Calibri"/>
        </w:rPr>
      </w:pPr>
      <w:r w:rsidRPr="004D6705">
        <w:rPr>
          <w:rFonts w:cs="Calibri"/>
        </w:rPr>
        <w:t>ASTM. (2018). "C78/C78M Standard Test Method for Flexural Strength of Concrete (Using Simple Beam with Third-Point Loading)." ASTM International, West Conshohocken PA.</w:t>
      </w:r>
    </w:p>
    <w:p w14:paraId="1F46BD27" w14:textId="77777777" w:rsidR="004D6705" w:rsidRPr="004D6705" w:rsidRDefault="004D6705" w:rsidP="00380790">
      <w:pPr>
        <w:pStyle w:val="NormalWeb"/>
        <w:spacing w:before="0" w:beforeAutospacing="0" w:after="240" w:afterAutospacing="0"/>
        <w:contextualSpacing w:val="0"/>
        <w:rPr>
          <w:rFonts w:cs="Calibri"/>
        </w:rPr>
      </w:pPr>
      <w:r w:rsidRPr="004D6705">
        <w:rPr>
          <w:rFonts w:cs="Calibri"/>
        </w:rPr>
        <w:t>ASTM. (2017a). "C157/C157M Standard Test Method for Length Change of Hardened Hydraulic-Cement Mortar and Concrete." ASTM International, West Conshohocken PA.</w:t>
      </w:r>
    </w:p>
    <w:p w14:paraId="77D35502" w14:textId="77777777" w:rsidR="004D6705" w:rsidRPr="004D6705" w:rsidRDefault="004D6705" w:rsidP="00380790">
      <w:pPr>
        <w:pStyle w:val="NormalWeb"/>
        <w:spacing w:before="0" w:beforeAutospacing="0" w:after="240" w:afterAutospacing="0"/>
        <w:contextualSpacing w:val="0"/>
        <w:rPr>
          <w:rFonts w:cs="Calibri"/>
        </w:rPr>
      </w:pPr>
      <w:r w:rsidRPr="004D6705">
        <w:rPr>
          <w:rFonts w:cs="Calibri"/>
        </w:rPr>
        <w:t>ASTM. (2017b). "C231/C231M Standard Test Method for Air Content of Freshly Mixed Concrete by the Pressure Method." ASTM International, West Conshohocken PA.</w:t>
      </w:r>
    </w:p>
    <w:p w14:paraId="017137C0" w14:textId="77777777" w:rsidR="004D6705" w:rsidRPr="004D6705" w:rsidRDefault="004D6705" w:rsidP="00380790">
      <w:pPr>
        <w:pStyle w:val="NormalWeb"/>
        <w:spacing w:before="0" w:beforeAutospacing="0" w:after="240" w:afterAutospacing="0"/>
        <w:contextualSpacing w:val="0"/>
        <w:rPr>
          <w:rFonts w:cs="Calibri"/>
        </w:rPr>
      </w:pPr>
      <w:r w:rsidRPr="004D6705">
        <w:rPr>
          <w:rFonts w:cs="Calibri"/>
        </w:rPr>
        <w:lastRenderedPageBreak/>
        <w:t>ASTM. (2015a). "C127 Standard Test Method for Relative Density (Specific Gravity) and Absorption of Coarse Aggregate." ASTM International, West Conshohocken PA.</w:t>
      </w:r>
    </w:p>
    <w:p w14:paraId="6F746457" w14:textId="77777777" w:rsidR="004D6705" w:rsidRPr="004D6705" w:rsidRDefault="004D6705" w:rsidP="00380790">
      <w:pPr>
        <w:pStyle w:val="NormalWeb"/>
        <w:spacing w:before="0" w:beforeAutospacing="0" w:after="240" w:afterAutospacing="0"/>
        <w:contextualSpacing w:val="0"/>
        <w:rPr>
          <w:rFonts w:cs="Calibri"/>
        </w:rPr>
      </w:pPr>
      <w:r w:rsidRPr="004D6705">
        <w:rPr>
          <w:rFonts w:cs="Calibri"/>
        </w:rPr>
        <w:t>ASTM. (2015b). "C666/C666M Standard Test Method for Resistance of Concrete to Rapid Freezing and Thawing." ASTM International, West Conshohocken PA.</w:t>
      </w:r>
    </w:p>
    <w:p w14:paraId="5F3A4229" w14:textId="77777777" w:rsidR="004D6705" w:rsidRPr="004D6705" w:rsidRDefault="004D6705" w:rsidP="00380790">
      <w:pPr>
        <w:pStyle w:val="NormalWeb"/>
        <w:spacing w:before="0" w:beforeAutospacing="0" w:after="240" w:afterAutospacing="0"/>
        <w:contextualSpacing w:val="0"/>
        <w:rPr>
          <w:rFonts w:cs="Calibri"/>
        </w:rPr>
      </w:pPr>
      <w:r w:rsidRPr="004D6705">
        <w:rPr>
          <w:rFonts w:cs="Calibri"/>
        </w:rPr>
        <w:t>ASTM. (2014a). "C136/C136M Standard Test Method for Sieve Analysis of Fine and Coarse Aggregates." ASTM International, West Conshohocken PA.</w:t>
      </w:r>
    </w:p>
    <w:p w14:paraId="5908FB21" w14:textId="77777777" w:rsidR="004D6705" w:rsidRPr="004D6705" w:rsidRDefault="004D6705" w:rsidP="00380790">
      <w:pPr>
        <w:pStyle w:val="NormalWeb"/>
        <w:spacing w:before="0" w:beforeAutospacing="0" w:after="240" w:afterAutospacing="0"/>
        <w:contextualSpacing w:val="0"/>
        <w:rPr>
          <w:rFonts w:cs="Calibri"/>
        </w:rPr>
      </w:pPr>
      <w:r w:rsidRPr="004D6705">
        <w:rPr>
          <w:rFonts w:cs="Calibri"/>
        </w:rPr>
        <w:t>ASTM. (2014b). "C469/C469M Standard Test Method for Static Modulus of Elasticity and Poisson's Ratio of Concrete in Compression." ASTM International, West Conshohocken PA.</w:t>
      </w:r>
    </w:p>
    <w:p w14:paraId="489711D5" w14:textId="2819A5D3" w:rsidR="004D6705" w:rsidRPr="004D6705" w:rsidRDefault="004D6705" w:rsidP="00380790">
      <w:pPr>
        <w:pStyle w:val="NormalWeb"/>
        <w:spacing w:before="0" w:beforeAutospacing="0" w:after="240" w:afterAutospacing="0"/>
        <w:contextualSpacing w:val="0"/>
        <w:rPr>
          <w:rFonts w:cs="Calibri"/>
        </w:rPr>
      </w:pPr>
      <w:r w:rsidRPr="004D6705">
        <w:rPr>
          <w:rFonts w:cs="Calibri"/>
        </w:rPr>
        <w:t>Cackler, T. (2018). "Recycled Con</w:t>
      </w:r>
      <w:r>
        <w:rPr>
          <w:rFonts w:cs="Calibri"/>
        </w:rPr>
        <w:t>crete Aggregate Usage in the US</w:t>
      </w:r>
      <w:r w:rsidRPr="004D6705">
        <w:rPr>
          <w:rFonts w:cs="Calibri"/>
        </w:rPr>
        <w:t>." National Concrete Pavement Technology Center, Ames IA.</w:t>
      </w:r>
    </w:p>
    <w:p w14:paraId="6693E0FB" w14:textId="188C89A6" w:rsidR="004D6705" w:rsidRPr="004D6705" w:rsidRDefault="004D6705" w:rsidP="00380790">
      <w:pPr>
        <w:pStyle w:val="NormalWeb"/>
        <w:spacing w:before="0" w:beforeAutospacing="0" w:after="240" w:afterAutospacing="0"/>
        <w:contextualSpacing w:val="0"/>
        <w:rPr>
          <w:rFonts w:cs="Calibri"/>
        </w:rPr>
      </w:pPr>
      <w:r w:rsidRPr="004D6705">
        <w:rPr>
          <w:rFonts w:cs="Calibri"/>
        </w:rPr>
        <w:t>CTC &amp; Associates LLC. (2012). "Concrete Recycling: Reuse of Returned Plastic Concrete an</w:t>
      </w:r>
      <w:r>
        <w:rPr>
          <w:rFonts w:cs="Calibri"/>
        </w:rPr>
        <w:t>d Crushed Concrete as Aggregate</w:t>
      </w:r>
      <w:r w:rsidRPr="004D6705">
        <w:rPr>
          <w:rFonts w:cs="Calibri"/>
        </w:rPr>
        <w:t>." Caltrans Division of Research, Sacramento CA.</w:t>
      </w:r>
    </w:p>
    <w:p w14:paraId="522AFDC2" w14:textId="77777777" w:rsidR="004D6705" w:rsidRPr="004D6705" w:rsidRDefault="004D6705" w:rsidP="00380790">
      <w:pPr>
        <w:pStyle w:val="NormalWeb"/>
        <w:spacing w:before="0" w:beforeAutospacing="0" w:after="240" w:afterAutospacing="0"/>
        <w:contextualSpacing w:val="0"/>
        <w:rPr>
          <w:rFonts w:cs="Calibri"/>
        </w:rPr>
      </w:pPr>
      <w:r w:rsidRPr="004D6705">
        <w:rPr>
          <w:rFonts w:cs="Calibri"/>
        </w:rPr>
        <w:t xml:space="preserve">Mehta, P. K., and Monteiro, P. J. M. (2014). </w:t>
      </w:r>
      <w:r w:rsidRPr="004D6705">
        <w:rPr>
          <w:rFonts w:cs="Calibri"/>
          <w:i/>
          <w:iCs/>
        </w:rPr>
        <w:t xml:space="preserve">Concrete : Microstructure, Properties, and Materials. </w:t>
      </w:r>
      <w:r w:rsidRPr="004D6705">
        <w:rPr>
          <w:rFonts w:cs="Calibri"/>
        </w:rPr>
        <w:t>McGraw Hill, New York.</w:t>
      </w:r>
    </w:p>
    <w:p w14:paraId="5655EFFD" w14:textId="302FE13B" w:rsidR="004D6705" w:rsidRPr="004D6705" w:rsidRDefault="004D6705" w:rsidP="00380790">
      <w:pPr>
        <w:pStyle w:val="NormalWeb"/>
        <w:spacing w:before="0" w:beforeAutospacing="0" w:after="240" w:afterAutospacing="0"/>
        <w:contextualSpacing w:val="0"/>
        <w:rPr>
          <w:rFonts w:cs="Calibri"/>
        </w:rPr>
      </w:pPr>
      <w:r w:rsidRPr="004D6705">
        <w:rPr>
          <w:rFonts w:cs="Calibri"/>
        </w:rPr>
        <w:t>Reza, F., and Wilde, W. J. (2017). "Evaluation of Recycled Aggre</w:t>
      </w:r>
      <w:r w:rsidR="00161610">
        <w:rPr>
          <w:rFonts w:cs="Calibri"/>
        </w:rPr>
        <w:t>gates Test Section Performance</w:t>
      </w:r>
      <w:r w:rsidRPr="004D6705">
        <w:rPr>
          <w:rFonts w:cs="Calibri"/>
        </w:rPr>
        <w:t>." Minnesota Department of Transportation, St. Paul MN.</w:t>
      </w:r>
    </w:p>
    <w:p w14:paraId="2E83A754" w14:textId="25DADBE7" w:rsidR="00147F75" w:rsidRPr="00147F75" w:rsidRDefault="004D6705" w:rsidP="00A605D9">
      <w:pPr>
        <w:pStyle w:val="NormalWeb"/>
        <w:spacing w:before="0" w:beforeAutospacing="0" w:after="240" w:afterAutospacing="0"/>
        <w:contextualSpacing w:val="0"/>
      </w:pPr>
      <w:r w:rsidRPr="004D6705">
        <w:rPr>
          <w:rFonts w:cs="Calibri"/>
        </w:rPr>
        <w:t xml:space="preserve">Vancura, M., Khazanovich, L., and Tompkins, D. (2009). "Reappraisal of Recycled Concrete Aggregate as Coarse Aggregate in Concretes for Rigid Pavements." </w:t>
      </w:r>
      <w:r w:rsidRPr="004D6705">
        <w:rPr>
          <w:rFonts w:cs="Calibri"/>
          <w:i/>
          <w:iCs/>
        </w:rPr>
        <w:t xml:space="preserve">Transportation Research Record: Journal of the Transportation Research Board, </w:t>
      </w:r>
      <w:r w:rsidRPr="004D6705">
        <w:rPr>
          <w:rFonts w:cs="Calibri"/>
        </w:rPr>
        <w:t>2113(1), 149-155.</w:t>
      </w:r>
      <w:r w:rsidRPr="004D6705">
        <w:rPr>
          <w:rFonts w:eastAsia="Times New Roman" w:cs="Calibri"/>
        </w:rPr>
        <w:t> </w:t>
      </w:r>
      <w:r w:rsidR="00FE7B38">
        <w:fldChar w:fldCharType="end"/>
      </w:r>
    </w:p>
    <w:p w14:paraId="7C345D3E" w14:textId="453BC309" w:rsidR="002F43A8" w:rsidRDefault="002F43A8" w:rsidP="002F43A8">
      <w:pPr>
        <w:pStyle w:val="Heading1"/>
      </w:pPr>
      <w:r>
        <w:t>Qualifications of Investigator and Institution</w:t>
      </w:r>
    </w:p>
    <w:p w14:paraId="7FEA2076" w14:textId="3E0B3635" w:rsidR="002F43A8" w:rsidRPr="0045644F" w:rsidRDefault="002F43A8" w:rsidP="00A605D9">
      <w:pPr>
        <w:pStyle w:val="Heading2"/>
        <w:spacing w:before="120"/>
      </w:pPr>
      <w:r w:rsidRPr="002F43A8">
        <w:t>I</w:t>
      </w:r>
      <w:r w:rsidRPr="002F43A8">
        <w:t>nvestigator</w:t>
      </w:r>
      <w:r>
        <w:t xml:space="preserve"> </w:t>
      </w:r>
    </w:p>
    <w:p w14:paraId="53EC4255" w14:textId="014461BD" w:rsidR="002F43A8" w:rsidRDefault="002F43A8" w:rsidP="002F43A8">
      <w:r w:rsidRPr="008B798D">
        <w:t>Dr. Lederle is an assistant professor at the University of St. Thomas, studying concrete infrastructure</w:t>
      </w:r>
      <w:r>
        <w:t xml:space="preserve"> with a particular emphasis on concrete materials. Her past research experience includes investigating the use of recycled materials as aggregates and pozzolans in paving concrete and examining the feasibility of using self-consolidating concrete in pre-cast bridge girder construction. She has also developed design models for concrete pavements to account for the effects of reversible shrinkage on transverse cracking prediction and to predict fatigue damage associated with longitudinal cracking. Prior to joining the university, Dr. Lederle worked for both the Minnesota and Wisconsin Departments of Transportation, which has provided her with the ability to examine research projects through the lens of implementation in addition to academically. </w:t>
      </w:r>
    </w:p>
    <w:p w14:paraId="37664ADB" w14:textId="77777777" w:rsidR="002F43A8" w:rsidRDefault="002F43A8" w:rsidP="002F43A8"/>
    <w:p w14:paraId="29B98D46" w14:textId="77777777" w:rsidR="002F43A8" w:rsidRPr="002F43A8" w:rsidRDefault="002F43A8" w:rsidP="00A605D9">
      <w:pPr>
        <w:pStyle w:val="Heading3"/>
        <w:spacing w:before="0"/>
      </w:pPr>
      <w:r w:rsidRPr="002F43A8">
        <w:t>Previous Projects Investigating Concrete Materials</w:t>
      </w:r>
    </w:p>
    <w:p w14:paraId="4E6D7A77" w14:textId="77777777" w:rsidR="002F43A8" w:rsidRPr="0032345A" w:rsidRDefault="002F43A8" w:rsidP="002F43A8">
      <w:pPr>
        <w:pStyle w:val="ListParagraph"/>
        <w:numPr>
          <w:ilvl w:val="0"/>
          <w:numId w:val="12"/>
        </w:numPr>
        <w:spacing w:after="100" w:afterAutospacing="1"/>
        <w:rPr>
          <w:i/>
        </w:rPr>
      </w:pPr>
      <w:r w:rsidRPr="0032345A">
        <w:rPr>
          <w:i/>
        </w:rPr>
        <w:t>Reversible Shrinkage of Concrete Made with Various Aggregates including RCA</w:t>
      </w:r>
    </w:p>
    <w:p w14:paraId="58FFFE5F" w14:textId="61D957D8" w:rsidR="002F43A8" w:rsidRDefault="002F43A8" w:rsidP="002F43A8">
      <w:pPr>
        <w:pStyle w:val="ListParagraph"/>
      </w:pPr>
      <w:r w:rsidRPr="0032345A">
        <w:t>Studied the amount of reversible and irreversible shrinkage experienced by concrete made of</w:t>
      </w:r>
      <w:r>
        <w:t xml:space="preserve"> </w:t>
      </w:r>
      <w:r w:rsidRPr="0032345A">
        <w:t>various aggregates including several different recycled concrete aggregates and light weight</w:t>
      </w:r>
      <w:r>
        <w:t xml:space="preserve"> </w:t>
      </w:r>
      <w:r w:rsidRPr="0032345A">
        <w:t xml:space="preserve">aggregates. Investigated the effects of different curing regimes on reversible </w:t>
      </w:r>
      <w:r w:rsidRPr="0032345A">
        <w:lastRenderedPageBreak/>
        <w:t>shrinkage and the</w:t>
      </w:r>
      <w:r>
        <w:t xml:space="preserve"> </w:t>
      </w:r>
      <w:proofErr w:type="gramStart"/>
      <w:r w:rsidRPr="0032345A">
        <w:t>long held</w:t>
      </w:r>
      <w:proofErr w:type="gramEnd"/>
      <w:r w:rsidRPr="0032345A">
        <w:t xml:space="preserve"> assumption that length change in concrete is proportional to weight change.</w:t>
      </w:r>
    </w:p>
    <w:p w14:paraId="6A0BD22E" w14:textId="77777777" w:rsidR="00A605D9" w:rsidRDefault="00A605D9" w:rsidP="002F43A8">
      <w:pPr>
        <w:pStyle w:val="ListParagraph"/>
      </w:pPr>
    </w:p>
    <w:p w14:paraId="6FCE65DD" w14:textId="77777777" w:rsidR="002F43A8" w:rsidRPr="0064339A" w:rsidRDefault="002F43A8" w:rsidP="002F43A8">
      <w:pPr>
        <w:pStyle w:val="ListParagraph"/>
        <w:numPr>
          <w:ilvl w:val="0"/>
          <w:numId w:val="12"/>
        </w:numPr>
        <w:spacing w:after="100" w:afterAutospacing="1"/>
        <w:rPr>
          <w:i/>
        </w:rPr>
      </w:pPr>
      <w:r w:rsidRPr="0064339A">
        <w:rPr>
          <w:i/>
        </w:rPr>
        <w:t xml:space="preserve">Investigation of </w:t>
      </w:r>
      <w:proofErr w:type="spellStart"/>
      <w:r w:rsidRPr="0064339A">
        <w:rPr>
          <w:i/>
        </w:rPr>
        <w:t>Hydrochars</w:t>
      </w:r>
      <w:proofErr w:type="spellEnd"/>
      <w:r w:rsidRPr="0064339A">
        <w:rPr>
          <w:i/>
        </w:rPr>
        <w:t xml:space="preserve"> as a Supplementary Cementitious Material</w:t>
      </w:r>
    </w:p>
    <w:p w14:paraId="5C26C9F1" w14:textId="628B314F" w:rsidR="002F43A8" w:rsidRDefault="002F43A8" w:rsidP="002F43A8">
      <w:pPr>
        <w:pStyle w:val="ListParagraph"/>
      </w:pPr>
      <w:r w:rsidRPr="0064339A">
        <w:t xml:space="preserve">Tested the cementitious and pozzolanic properties of waste materials processed with </w:t>
      </w:r>
      <w:proofErr w:type="spellStart"/>
      <w:r>
        <w:t>hydropyrolization</w:t>
      </w:r>
      <w:proofErr w:type="spellEnd"/>
      <w:r>
        <w:t xml:space="preserve"> </w:t>
      </w:r>
      <w:r w:rsidRPr="0064339A">
        <w:t>techniques</w:t>
      </w:r>
      <w:r>
        <w:t xml:space="preserve"> </w:t>
      </w:r>
      <w:r w:rsidRPr="0064339A">
        <w:t xml:space="preserve">developed by the Biotechnology Institute at the University of Minnesota. </w:t>
      </w:r>
    </w:p>
    <w:p w14:paraId="10EF948B" w14:textId="77777777" w:rsidR="00A605D9" w:rsidRDefault="00A605D9" w:rsidP="002F43A8">
      <w:pPr>
        <w:pStyle w:val="ListParagraph"/>
      </w:pPr>
    </w:p>
    <w:p w14:paraId="571E09BA" w14:textId="77777777" w:rsidR="002F43A8" w:rsidRPr="0064339A" w:rsidRDefault="002F43A8" w:rsidP="002F43A8">
      <w:pPr>
        <w:pStyle w:val="ListParagraph"/>
        <w:numPr>
          <w:ilvl w:val="0"/>
          <w:numId w:val="12"/>
        </w:numPr>
        <w:spacing w:after="100" w:afterAutospacing="1"/>
        <w:rPr>
          <w:i/>
          <w:szCs w:val="24"/>
        </w:rPr>
      </w:pPr>
      <w:r w:rsidRPr="0064339A">
        <w:rPr>
          <w:i/>
          <w:color w:val="444444"/>
          <w:szCs w:val="24"/>
        </w:rPr>
        <w:t>Self-Consolidating Concrete for Prestressed Bridge Girders</w:t>
      </w:r>
    </w:p>
    <w:p w14:paraId="366802FB" w14:textId="77777777" w:rsidR="002F43A8" w:rsidRPr="0064339A" w:rsidRDefault="002F43A8" w:rsidP="002F43A8">
      <w:pPr>
        <w:pStyle w:val="ListParagraph"/>
      </w:pPr>
      <w:r>
        <w:t xml:space="preserve">Oversaw an investigation of the use of self-consolidating concrete in bridge girder fabrication. Advised the development of self-consolidating mix designs and a research testing plan. This project examined the effect of various aggregate types and gradations on overall mix properties and performance. </w:t>
      </w:r>
    </w:p>
    <w:p w14:paraId="4F472BED" w14:textId="77777777" w:rsidR="002F43A8" w:rsidRPr="00DC606C" w:rsidRDefault="002F43A8" w:rsidP="002F43A8">
      <w:pPr>
        <w:pStyle w:val="ListParagraph"/>
        <w:rPr>
          <w:sz w:val="12"/>
          <w:szCs w:val="12"/>
        </w:rPr>
      </w:pPr>
    </w:p>
    <w:p w14:paraId="786D0DA4" w14:textId="77777777" w:rsidR="002F43A8" w:rsidRDefault="002F43A8" w:rsidP="002F43A8">
      <w:pPr>
        <w:pStyle w:val="Heading3"/>
      </w:pPr>
      <w:r>
        <w:t>Previous Projects Investigating Pavement Design</w:t>
      </w:r>
    </w:p>
    <w:p w14:paraId="0AB15806" w14:textId="77777777" w:rsidR="002F43A8" w:rsidRPr="0032345A" w:rsidRDefault="002F43A8" w:rsidP="002F43A8">
      <w:pPr>
        <w:pStyle w:val="ListParagraph"/>
        <w:numPr>
          <w:ilvl w:val="0"/>
          <w:numId w:val="12"/>
        </w:numPr>
        <w:spacing w:after="100" w:afterAutospacing="1"/>
        <w:rPr>
          <w:i/>
        </w:rPr>
      </w:pPr>
      <w:r w:rsidRPr="0032345A">
        <w:rPr>
          <w:i/>
        </w:rPr>
        <w:t>Development of a Longitudinal Cracking Fatigue Damage Model for Jointed Plain Concrete Pavements Using the Principals of Similarity</w:t>
      </w:r>
    </w:p>
    <w:p w14:paraId="508A9301" w14:textId="77777777" w:rsidR="002F43A8" w:rsidRPr="0032345A" w:rsidRDefault="002F43A8" w:rsidP="002F43A8">
      <w:pPr>
        <w:pStyle w:val="ListParagraph"/>
      </w:pPr>
      <w:r w:rsidRPr="0032345A">
        <w:t>Developed a model that uses neural networks to predict stresses which cause longitudinal</w:t>
      </w:r>
    </w:p>
    <w:p w14:paraId="6F36695F" w14:textId="77777777" w:rsidR="002F43A8" w:rsidRDefault="002F43A8" w:rsidP="002F43A8">
      <w:pPr>
        <w:pStyle w:val="ListParagraph"/>
      </w:pPr>
      <w:r w:rsidRPr="0032345A">
        <w:t>cracking for pavement subjected to environmental and traffic loading. The neural networks were</w:t>
      </w:r>
      <w:r>
        <w:t xml:space="preserve"> </w:t>
      </w:r>
      <w:r w:rsidRPr="0032345A">
        <w:t>trained in similar space with a factorial which was reduced in size using the principles of</w:t>
      </w:r>
      <w:r>
        <w:t xml:space="preserve"> </w:t>
      </w:r>
      <w:r w:rsidRPr="0032345A">
        <w:t>similarity to increase efficiency without introducing error. A modified version of Miner’s</w:t>
      </w:r>
      <w:r>
        <w:t xml:space="preserve"> </w:t>
      </w:r>
      <w:r w:rsidRPr="0032345A">
        <w:t>fatigue was used to accumulate damage caused by these loads. Consideration was given to the</w:t>
      </w:r>
      <w:r>
        <w:t xml:space="preserve"> </w:t>
      </w:r>
      <w:r w:rsidRPr="0032345A">
        <w:t>fact that longitudinal cracks do not</w:t>
      </w:r>
      <w:r>
        <w:t xml:space="preserve"> occur independently of each other.</w:t>
      </w:r>
    </w:p>
    <w:p w14:paraId="157563D1" w14:textId="77777777" w:rsidR="002F43A8" w:rsidRPr="00CF5AE8" w:rsidRDefault="002F43A8" w:rsidP="002F43A8"/>
    <w:p w14:paraId="5382F79B" w14:textId="77777777" w:rsidR="002F43A8" w:rsidRPr="0032345A" w:rsidRDefault="002F43A8" w:rsidP="002F43A8">
      <w:pPr>
        <w:pStyle w:val="ListParagraph"/>
        <w:numPr>
          <w:ilvl w:val="0"/>
          <w:numId w:val="12"/>
        </w:numPr>
        <w:spacing w:after="100" w:afterAutospacing="1"/>
        <w:rPr>
          <w:i/>
        </w:rPr>
      </w:pPr>
      <w:r w:rsidRPr="0032345A">
        <w:rPr>
          <w:i/>
        </w:rPr>
        <w:t>Development of New Warping and Differential Drying Shrinkage Models for Jointed Plain Concrete Pavements</w:t>
      </w:r>
    </w:p>
    <w:p w14:paraId="6261D55D" w14:textId="77777777" w:rsidR="002F43A8" w:rsidRPr="0032345A" w:rsidRDefault="002F43A8" w:rsidP="002F43A8">
      <w:pPr>
        <w:pStyle w:val="ListParagraph"/>
      </w:pPr>
      <w:r w:rsidRPr="0032345A">
        <w:t>Developed models to predict the amount of warping and differential drying shrinkage</w:t>
      </w:r>
    </w:p>
    <w:p w14:paraId="5E434BBE" w14:textId="6A527A11" w:rsidR="002F43A8" w:rsidRDefault="002F43A8" w:rsidP="002F43A8">
      <w:pPr>
        <w:pStyle w:val="ListParagraph"/>
      </w:pPr>
      <w:r w:rsidRPr="0032345A">
        <w:t>experienced by a concrete slab due to ambient relative humidity. These models improve upon</w:t>
      </w:r>
      <w:r>
        <w:t xml:space="preserve"> </w:t>
      </w:r>
      <w:r w:rsidRPr="0032345A">
        <w:t>existing models by assuming a non-linear shrinkage gradient but do not require any additional</w:t>
      </w:r>
      <w:r>
        <w:t xml:space="preserve"> </w:t>
      </w:r>
      <w:r w:rsidRPr="0032345A">
        <w:t>inputs and are fully compatible with current mechanistic-empirical design procedures.</w:t>
      </w:r>
    </w:p>
    <w:p w14:paraId="7921C08E" w14:textId="77777777" w:rsidR="002F43A8" w:rsidRPr="00E807BB" w:rsidRDefault="002F43A8" w:rsidP="002F43A8"/>
    <w:p w14:paraId="56BD94A2" w14:textId="77777777" w:rsidR="002F43A8" w:rsidRDefault="002F43A8" w:rsidP="002F43A8">
      <w:pPr>
        <w:pStyle w:val="Heading3"/>
      </w:pPr>
      <w:r>
        <w:t>Relevant Peer-Reviewed Publications</w:t>
      </w:r>
    </w:p>
    <w:p w14:paraId="41FBF82C" w14:textId="5222611A" w:rsidR="002F43A8" w:rsidRDefault="002F43A8" w:rsidP="002F43A8">
      <w:pPr>
        <w:pStyle w:val="ListParagraph"/>
        <w:numPr>
          <w:ilvl w:val="0"/>
          <w:numId w:val="11"/>
        </w:numPr>
        <w:spacing w:after="240" w:afterAutospacing="1"/>
        <w:rPr>
          <w:szCs w:val="24"/>
        </w:rPr>
      </w:pPr>
      <w:r w:rsidRPr="007A1ADC">
        <w:rPr>
          <w:szCs w:val="24"/>
        </w:rPr>
        <w:t xml:space="preserve">Torres, E., Seo, J., and </w:t>
      </w:r>
      <w:r w:rsidRPr="0032345A">
        <w:rPr>
          <w:b/>
          <w:szCs w:val="24"/>
        </w:rPr>
        <w:t>R.E. Lederle</w:t>
      </w:r>
      <w:r w:rsidRPr="007A1ADC">
        <w:rPr>
          <w:szCs w:val="24"/>
        </w:rPr>
        <w:t>. “Experimental and Statistical Investigation of Self-Consolidating Concrete Mixture Constituents for Prestressed Bridge Girder Fabrication.” ASCE Journal of Materials in Civil Engineering, Vol. 29, No 9, 2017.</w:t>
      </w:r>
    </w:p>
    <w:p w14:paraId="0BF3FCAA" w14:textId="77777777" w:rsidR="00A605D9" w:rsidRPr="00CF5AE8" w:rsidRDefault="00A605D9" w:rsidP="00A605D9">
      <w:pPr>
        <w:pStyle w:val="ListParagraph"/>
        <w:spacing w:after="240" w:afterAutospacing="1"/>
        <w:rPr>
          <w:szCs w:val="24"/>
        </w:rPr>
      </w:pPr>
    </w:p>
    <w:p w14:paraId="287E98A5" w14:textId="1E722F82" w:rsidR="00A605D9" w:rsidRDefault="002F43A8" w:rsidP="00A605D9">
      <w:pPr>
        <w:pStyle w:val="ListParagraph"/>
        <w:numPr>
          <w:ilvl w:val="0"/>
          <w:numId w:val="11"/>
        </w:numPr>
        <w:spacing w:after="240" w:afterAutospacing="1"/>
        <w:rPr>
          <w:szCs w:val="24"/>
        </w:rPr>
      </w:pPr>
      <w:r w:rsidRPr="007A1ADC">
        <w:rPr>
          <w:szCs w:val="24"/>
        </w:rPr>
        <w:t xml:space="preserve">Torres, E., Seo, J., and </w:t>
      </w:r>
      <w:r w:rsidRPr="007A1ADC">
        <w:rPr>
          <w:b/>
          <w:szCs w:val="24"/>
        </w:rPr>
        <w:t>R.E. Lederle</w:t>
      </w:r>
      <w:r w:rsidRPr="007A1ADC">
        <w:rPr>
          <w:szCs w:val="24"/>
        </w:rPr>
        <w:t>. “A Framework to Examine Experimental Material Properties of Self-Consolidating Concrete for Prestressed Bridge Girder Fabrication.”</w:t>
      </w:r>
      <w:r>
        <w:rPr>
          <w:szCs w:val="24"/>
        </w:rPr>
        <w:t xml:space="preserve"> </w:t>
      </w:r>
      <w:r w:rsidRPr="007A1ADC">
        <w:rPr>
          <w:szCs w:val="24"/>
        </w:rPr>
        <w:t>Proceedings of the 8th International RILEM Symposium on Self-Compacting Concrete/6th North American Conference on Design and Use of Self-Consolidating Concrete, Washington DC, May 2016.</w:t>
      </w:r>
    </w:p>
    <w:p w14:paraId="063697D4" w14:textId="77777777" w:rsidR="00A605D9" w:rsidRPr="00A605D9" w:rsidRDefault="00A605D9" w:rsidP="00A605D9">
      <w:pPr>
        <w:pStyle w:val="ListParagraph"/>
        <w:rPr>
          <w:szCs w:val="24"/>
        </w:rPr>
      </w:pPr>
    </w:p>
    <w:p w14:paraId="3104546C" w14:textId="77777777" w:rsidR="002F43A8" w:rsidRPr="00CF5AE8" w:rsidRDefault="002F43A8" w:rsidP="002F43A8">
      <w:pPr>
        <w:pStyle w:val="ListParagraph"/>
        <w:numPr>
          <w:ilvl w:val="0"/>
          <w:numId w:val="11"/>
        </w:numPr>
        <w:spacing w:after="120" w:afterAutospacing="1"/>
        <w:rPr>
          <w:szCs w:val="24"/>
        </w:rPr>
      </w:pPr>
      <w:r w:rsidRPr="0032345A">
        <w:rPr>
          <w:b/>
          <w:szCs w:val="24"/>
        </w:rPr>
        <w:lastRenderedPageBreak/>
        <w:t>Lederle, R.E</w:t>
      </w:r>
      <w:r w:rsidRPr="007A1ADC">
        <w:rPr>
          <w:szCs w:val="24"/>
        </w:rPr>
        <w:t>., and J.E. Hiller. “Reversible Shrinkage of Concrete Made with RCA and Other Aggregate Types.” ACI Materials Journal, Vol. 110, No 4, p 423-432, 2013.</w:t>
      </w:r>
    </w:p>
    <w:p w14:paraId="4305A363" w14:textId="77777777" w:rsidR="00A605D9" w:rsidRPr="00A605D9" w:rsidRDefault="00A605D9" w:rsidP="00A605D9">
      <w:pPr>
        <w:pStyle w:val="ListParagraph"/>
        <w:spacing w:after="240" w:afterAutospacing="1"/>
        <w:rPr>
          <w:szCs w:val="24"/>
        </w:rPr>
      </w:pPr>
    </w:p>
    <w:p w14:paraId="0E276FDB" w14:textId="7E52A15F" w:rsidR="002F43A8" w:rsidRPr="00CF5AE8" w:rsidRDefault="002F43A8" w:rsidP="002F43A8">
      <w:pPr>
        <w:pStyle w:val="ListParagraph"/>
        <w:numPr>
          <w:ilvl w:val="0"/>
          <w:numId w:val="11"/>
        </w:numPr>
        <w:spacing w:after="240" w:afterAutospacing="1"/>
        <w:rPr>
          <w:szCs w:val="24"/>
        </w:rPr>
      </w:pPr>
      <w:r w:rsidRPr="007A1ADC">
        <w:rPr>
          <w:b/>
          <w:szCs w:val="24"/>
        </w:rPr>
        <w:t>Lederle, R.E</w:t>
      </w:r>
      <w:r w:rsidRPr="007A1ADC">
        <w:rPr>
          <w:szCs w:val="24"/>
        </w:rPr>
        <w:t>. and J.E. Hiller. “New Warping and Differential Drying Shrinkage Models for Jointed Plain Concrete Pavements Derived with a Nonlinear Shrinkage Distribution” Transportation Research Record 2305, p 3-13, 2012.</w:t>
      </w:r>
    </w:p>
    <w:p w14:paraId="2C2B2A6B" w14:textId="77777777" w:rsidR="00A605D9" w:rsidRDefault="00A605D9" w:rsidP="00A605D9">
      <w:pPr>
        <w:pStyle w:val="ListParagraph"/>
        <w:spacing w:after="240" w:afterAutospacing="1"/>
        <w:rPr>
          <w:szCs w:val="24"/>
        </w:rPr>
      </w:pPr>
      <w:bookmarkStart w:id="2" w:name="_GoBack"/>
      <w:bookmarkEnd w:id="2"/>
    </w:p>
    <w:p w14:paraId="19FAD604" w14:textId="5BA6E1A4" w:rsidR="002F43A8" w:rsidRDefault="002F43A8" w:rsidP="002F43A8">
      <w:pPr>
        <w:pStyle w:val="ListParagraph"/>
        <w:numPr>
          <w:ilvl w:val="0"/>
          <w:numId w:val="11"/>
        </w:numPr>
        <w:spacing w:after="240" w:afterAutospacing="1"/>
        <w:rPr>
          <w:szCs w:val="24"/>
        </w:rPr>
      </w:pPr>
      <w:r w:rsidRPr="007A1ADC">
        <w:rPr>
          <w:szCs w:val="24"/>
        </w:rPr>
        <w:t xml:space="preserve">Hiller, J.E., </w:t>
      </w:r>
      <w:r w:rsidRPr="007A1ADC">
        <w:rPr>
          <w:b/>
          <w:szCs w:val="24"/>
        </w:rPr>
        <w:t>Lederle, R.E.,</w:t>
      </w:r>
      <w:r w:rsidRPr="007A1ADC">
        <w:rPr>
          <w:szCs w:val="24"/>
        </w:rPr>
        <w:t xml:space="preserve"> and Deshpande, Y.S. “Characterization of Recycled Concrete Aggregates for Reuse in Rigid Pavements.” Proceedings of the 2011 Australian Society for Concrete Pavements Conference, West Ryde, New South Wales, Australia, August 2011.</w:t>
      </w:r>
      <w:r>
        <w:rPr>
          <w:szCs w:val="24"/>
        </w:rPr>
        <w:t xml:space="preserve"> </w:t>
      </w:r>
    </w:p>
    <w:p w14:paraId="46F1066F" w14:textId="77777777" w:rsidR="002F43A8" w:rsidRDefault="002F43A8" w:rsidP="002F43A8">
      <w:pPr>
        <w:pStyle w:val="Heading2"/>
      </w:pPr>
      <w:r>
        <w:t>Institution</w:t>
      </w:r>
    </w:p>
    <w:p w14:paraId="2790A5E5" w14:textId="77777777" w:rsidR="002F43A8" w:rsidRPr="009F73F1" w:rsidRDefault="002F43A8" w:rsidP="002F43A8">
      <w:r w:rsidRPr="009F73F1">
        <w:t xml:space="preserve">The University of St Thomas School of Engineering </w:t>
      </w:r>
      <w:r>
        <w:t>has laboratory space occupying</w:t>
      </w:r>
      <w:r w:rsidRPr="009F73F1">
        <w:t xml:space="preserve"> approximately 10,000 square </w:t>
      </w:r>
      <w:proofErr w:type="gramStart"/>
      <w:r w:rsidRPr="009F73F1">
        <w:t xml:space="preserve">feet, </w:t>
      </w:r>
      <w:r>
        <w:t>and</w:t>
      </w:r>
      <w:proofErr w:type="gramEnd"/>
      <w:r>
        <w:t xml:space="preserve"> is</w:t>
      </w:r>
      <w:r w:rsidRPr="009F73F1">
        <w:t xml:space="preserve"> partitioned into several specialized areas. The space is designed to meet the high-tech requirements of the profession and to be flexible and adaptable to changing industry needs. The laboratories are equipped with tools including production machinery, research instrumentation, test equipment, educational demonstrations and models, and simulation and design software. The laboratories are managed by </w:t>
      </w:r>
      <w:r>
        <w:t>four</w:t>
      </w:r>
      <w:r w:rsidRPr="009F73F1">
        <w:t xml:space="preserve"> lab managers (one for each of the civil, electrical, and mechanical labs, and the woodshop) who are responsible for maintaining the OSHA compliant labs and ensuring a safe environment for all involved. These lab managers are also able to provide assistance to student workers on research projects. </w:t>
      </w:r>
    </w:p>
    <w:p w14:paraId="447882F8" w14:textId="77777777" w:rsidR="002F43A8" w:rsidRDefault="002F43A8" w:rsidP="002F43A8"/>
    <w:p w14:paraId="06EA57C4" w14:textId="77777777" w:rsidR="005D3E9B" w:rsidRDefault="002F43A8" w:rsidP="002F43A8">
      <w:r>
        <w:t xml:space="preserve">The civil engineering materials lab is equipped for standard testing of concrete and soils per ASTM standards. Concrete mixing equipment includes a 3-cubic foot rotary mixer, two bench top 5-qt mortar mixers, and a custom designed and built water recycling system for responsibly containing and disposing of washout water. Standard molds are available for casting 3, </w:t>
      </w:r>
      <w:proofErr w:type="gramStart"/>
      <w:r>
        <w:t>4 and 6 inch</w:t>
      </w:r>
      <w:proofErr w:type="gramEnd"/>
      <w:r>
        <w:t xml:space="preserve"> diameter cylinders, flexural beams, and mortar cubes. Curing is currently accomplished with heated cure tanks, but a 155-cubic foot Darwin cure chamber is on order with expected delivery in early summer 2019. A </w:t>
      </w:r>
      <w:proofErr w:type="spellStart"/>
      <w:r>
        <w:t>Fourney</w:t>
      </w:r>
      <w:proofErr w:type="spellEnd"/>
      <w:r>
        <w:t xml:space="preserve"> 500,000 lb. High Stiffness Frame compression tester with digital control and readout has all accessories required to conduct compression, split tensile, modulus of rupture (via </w:t>
      </w:r>
      <w:proofErr w:type="gramStart"/>
      <w:r>
        <w:t>four point</w:t>
      </w:r>
      <w:proofErr w:type="gramEnd"/>
      <w:r>
        <w:t xml:space="preserve"> bending), modulus of elasticity, and Poisson’s ratio testing on standard sized cylinders and beams. This machine can also conduct masonry testing on mortar cubes, bricks, concrete masonry units, and masonry prisms. For aggregate testing, two sieve shakers and a sieve screen are available with all required sieve/screen sizes for gradation testing, and equipment required for coarse and fine aggregate specific gravity and absorption capacity testing. </w:t>
      </w:r>
    </w:p>
    <w:p w14:paraId="13689CF4" w14:textId="77777777" w:rsidR="005D3E9B" w:rsidRDefault="005D3E9B" w:rsidP="002F43A8"/>
    <w:p w14:paraId="7339064C" w14:textId="6735BB8A" w:rsidR="002F43A8" w:rsidRDefault="002F43A8" w:rsidP="002F43A8">
      <w:r>
        <w:t xml:space="preserve">Soils testing equipment includes a pneumatic direct shear machine with digital readout, two </w:t>
      </w:r>
      <w:proofErr w:type="spellStart"/>
      <w:r>
        <w:t>odeometers</w:t>
      </w:r>
      <w:proofErr w:type="spellEnd"/>
      <w:r>
        <w:t xml:space="preserve"> for consolidation testing, and two 10-kip load frames with accessories required to conduct unconfined compression and California bearing ration, as well as triaxial testing when used with control panels. Additional soils equipment includes sieve sizes required to conduct soils gradations, equipment for hydrometer testing, two bench top lab ovens (550°F maximum), four stations to conduct constant and falling head tests with rigid wall permeameters, and sundry sample preparation tools.</w:t>
      </w:r>
    </w:p>
    <w:p w14:paraId="1FEA5C92" w14:textId="77777777" w:rsidR="002F43A8" w:rsidRDefault="002F43A8" w:rsidP="002F43A8"/>
    <w:p w14:paraId="6DB39615" w14:textId="347E7AB9" w:rsidR="002F43A8" w:rsidRDefault="002F43A8" w:rsidP="002F43A8">
      <w:r>
        <w:lastRenderedPageBreak/>
        <w:t xml:space="preserve">The combined civil and mechanical materials testing lab includes </w:t>
      </w:r>
      <w:r w:rsidR="005D3E9B">
        <w:t>two universal testing machines: an</w:t>
      </w:r>
      <w:r>
        <w:t xml:space="preserve"> MTS Criterion Series C43 </w:t>
      </w:r>
      <w:r w:rsidR="006137FF">
        <w:t xml:space="preserve">and a </w:t>
      </w:r>
      <w:r w:rsidR="006137FF">
        <w:t>higher capacity MTS Criterion Series C45-605</w:t>
      </w:r>
      <w:r w:rsidR="006137FF">
        <w:t>.  Each machine has a</w:t>
      </w:r>
      <w:r>
        <w:t xml:space="preserve"> variety of grips for testing in tension, compression, and flexure</w:t>
      </w:r>
      <w:r w:rsidR="0075427D">
        <w:t>, e</w:t>
      </w:r>
      <w:r>
        <w:t xml:space="preserve">xtensometers and associated software allow for measurement of deformation during testing. A digital image correlation system is also available to record real-time strain field measurements. Rounding out this lab are an MTS Exceed 22 Pendulum Impact Tester, a Rockwell hardness tester, and a guided bend tester. </w:t>
      </w:r>
    </w:p>
    <w:p w14:paraId="21D8B9D2" w14:textId="77777777" w:rsidR="00D02B7C" w:rsidRPr="009F73F1" w:rsidRDefault="00D02B7C" w:rsidP="002F43A8"/>
    <w:p w14:paraId="1D9182DD" w14:textId="7336DA7A" w:rsidR="002F43A8" w:rsidRDefault="002F43A8" w:rsidP="002F43A8">
      <w:r w:rsidRPr="009F73F1">
        <w:t>A machine shop of approximately 600 square feet exists with manually operated milling m</w:t>
      </w:r>
      <w:r>
        <w:t>achines</w:t>
      </w:r>
      <w:r w:rsidRPr="009F73F1">
        <w:t xml:space="preserve">, manually operated lathes, </w:t>
      </w:r>
      <w:r>
        <w:t xml:space="preserve">and </w:t>
      </w:r>
      <w:r w:rsidRPr="009F73F1">
        <w:t>a horizontal band saw</w:t>
      </w:r>
      <w:r>
        <w:t>, in addition to three</w:t>
      </w:r>
      <w:r w:rsidRPr="009F73F1">
        <w:t xml:space="preserve"> CNC machines</w:t>
      </w:r>
      <w:r>
        <w:t xml:space="preserve"> with</w:t>
      </w:r>
      <w:r w:rsidRPr="009F73F1">
        <w:t xml:space="preserve"> the capability to accept processed CAD files from which parts can be made. </w:t>
      </w:r>
      <w:r>
        <w:t>T</w:t>
      </w:r>
      <w:r w:rsidRPr="009F73F1">
        <w:t>here are</w:t>
      </w:r>
      <w:r>
        <w:t xml:space="preserve"> also</w:t>
      </w:r>
      <w:r w:rsidRPr="009F73F1">
        <w:t xml:space="preserve"> “light manufacturing” facilities, including sanders, arc welding</w:t>
      </w:r>
      <w:r>
        <w:t>, sheet metal equipment</w:t>
      </w:r>
      <w:r w:rsidRPr="009F73F1">
        <w:t xml:space="preserve">, numerous hand tools, and adequate bench space. </w:t>
      </w:r>
    </w:p>
    <w:p w14:paraId="1A688145" w14:textId="77777777" w:rsidR="0075427D" w:rsidRPr="009F73F1" w:rsidRDefault="0075427D" w:rsidP="002F43A8"/>
    <w:p w14:paraId="72562D07" w14:textId="229B7C5B" w:rsidR="002F43A8" w:rsidRDefault="002F43A8" w:rsidP="002F43A8">
      <w:r w:rsidRPr="009F73F1">
        <w:t xml:space="preserve">The School of Engineering also </w:t>
      </w:r>
      <w:r>
        <w:t>has</w:t>
      </w:r>
      <w:r w:rsidRPr="009F73F1">
        <w:t xml:space="preserve"> </w:t>
      </w:r>
      <w:r>
        <w:t>a woodshop with a table saw, band saw</w:t>
      </w:r>
      <w:r w:rsidRPr="009F73F1">
        <w:t>, 10inch sliding compound miter saw</w:t>
      </w:r>
      <w:r>
        <w:t>, drill press,</w:t>
      </w:r>
      <w:r w:rsidRPr="009F73F1">
        <w:t xml:space="preserve"> panel saw, router station with a 2¼ HP router, oscillating spindle sander, 12inch disc sander</w:t>
      </w:r>
      <w:r>
        <w:t>, scroll saw</w:t>
      </w:r>
      <w:r w:rsidRPr="009F73F1">
        <w:t>, 13” helical power planer, downdraft table, portable spray booth and numerous hand tools suitable for working with wood, and even metal or plastic (special blades/bits may be required). Ventilation is provided in the wood</w:t>
      </w:r>
      <w:r>
        <w:t xml:space="preserve"> shop by an </w:t>
      </w:r>
      <w:r w:rsidRPr="009F73F1">
        <w:t>air filtration system with 5HP dust collector. Additional tools for a variety of applications (electrical, plumbing, construction, etc.) are available from the tool lending library located adjacent to the labs.</w:t>
      </w:r>
      <w:r>
        <w:t xml:space="preserve"> </w:t>
      </w:r>
    </w:p>
    <w:p w14:paraId="41FE68E7" w14:textId="77777777" w:rsidR="0075427D" w:rsidRPr="009F73F1" w:rsidRDefault="0075427D" w:rsidP="002F43A8"/>
    <w:p w14:paraId="6F0A5017" w14:textId="77777777" w:rsidR="002F43A8" w:rsidRPr="00DC466A" w:rsidRDefault="002F43A8" w:rsidP="002F43A8">
      <w:r w:rsidRPr="009F73F1">
        <w:t>The University of St. Thomas library is well equipped to assist with research by providing online access to databases, journals, and periodicals.</w:t>
      </w:r>
      <w:r>
        <w:t xml:space="preserve"> </w:t>
      </w:r>
      <w:r w:rsidRPr="009F73F1">
        <w:t>For testing, a complete digital subscription to all ASTM standards is provided.</w:t>
      </w:r>
      <w:r>
        <w:t xml:space="preserve"> </w:t>
      </w:r>
      <w:r w:rsidRPr="009F73F1">
        <w:t>Interlibrary loan services provide access to material not housed physically or digitally in the library.</w:t>
      </w:r>
      <w:r>
        <w:t xml:space="preserve"> </w:t>
      </w:r>
      <w:r w:rsidRPr="009F73F1">
        <w:t>A dedicated librarian is available to assist engineering students and faculty with research</w:t>
      </w:r>
    </w:p>
    <w:p w14:paraId="0853FE3F" w14:textId="77777777" w:rsidR="00AF0E6E" w:rsidRPr="000D3E2D" w:rsidRDefault="00AF0E6E" w:rsidP="00D14962"/>
    <w:sectPr w:rsidR="00AF0E6E" w:rsidRPr="000D3E2D" w:rsidSect="00930888">
      <w:headerReference w:type="default" r:id="rId12"/>
      <w:headerReference w:type="first" r:id="rId13"/>
      <w:pgSz w:w="12240" w:h="15840"/>
      <w:pgMar w:top="1185" w:right="1440" w:bottom="1440" w:left="1440" w:header="72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907A2" w14:textId="77777777" w:rsidR="009B1370" w:rsidRDefault="009B1370" w:rsidP="00D14962">
      <w:r>
        <w:separator/>
      </w:r>
    </w:p>
  </w:endnote>
  <w:endnote w:type="continuationSeparator" w:id="0">
    <w:p w14:paraId="5BEAFACC" w14:textId="77777777" w:rsidR="009B1370" w:rsidRDefault="009B1370" w:rsidP="00D14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4A2CF" w14:textId="77777777" w:rsidR="009B1370" w:rsidRDefault="009B1370" w:rsidP="00D14962">
      <w:r>
        <w:separator/>
      </w:r>
    </w:p>
  </w:footnote>
  <w:footnote w:type="continuationSeparator" w:id="0">
    <w:p w14:paraId="66ED886E" w14:textId="77777777" w:rsidR="009B1370" w:rsidRDefault="009B1370" w:rsidP="00D14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2538E" w14:textId="77777777" w:rsidR="009B1370" w:rsidRDefault="009B1370" w:rsidP="00D14962">
    <w:pPr>
      <w:pStyle w:val="Header"/>
    </w:pPr>
  </w:p>
  <w:p w14:paraId="0CAC4FC5" w14:textId="77777777" w:rsidR="009B1370" w:rsidRDefault="009B1370" w:rsidP="00D14962">
    <w:pPr>
      <w:pStyle w:val="Header"/>
    </w:pPr>
  </w:p>
  <w:p w14:paraId="497D0298" w14:textId="77777777" w:rsidR="009B1370" w:rsidRPr="00930888" w:rsidRDefault="009B1370" w:rsidP="00D14962">
    <w:pPr>
      <w:pStyle w:val="Title"/>
      <w:rPr>
        <w:sz w:val="24"/>
        <w:szCs w:val="24"/>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D819A" w14:textId="77777777" w:rsidR="009B1370" w:rsidRPr="0065019F" w:rsidRDefault="009B1370" w:rsidP="00D14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E4721"/>
    <w:multiLevelType w:val="multilevel"/>
    <w:tmpl w:val="AD762B5C"/>
    <w:lvl w:ilvl="0">
      <w:start w:val="1"/>
      <w:numFmt w:val="decimal"/>
      <w:lvlText w:val="%1."/>
      <w:lvlJc w:val="left"/>
      <w:pPr>
        <w:ind w:left="360" w:hanging="360"/>
      </w:pPr>
      <w:rPr>
        <w:rFonts w:hint="default"/>
        <w:b/>
        <w:i w:val="0"/>
        <w:iCs w:val="0"/>
        <w:smallCaps w:val="0"/>
        <w:strike w:val="0"/>
        <w:dstrike w:val="0"/>
        <w:noProof w:val="0"/>
        <w:vanish w:val="0"/>
        <w:color w:val="1F497D"/>
        <w:kern w:val="0"/>
        <w:position w:val="0"/>
        <w:sz w:val="32"/>
        <w:u w:val="none"/>
        <w:effect w:val="none"/>
        <w:vertAlign w:val="baseline"/>
        <w:em w:val="none"/>
        <w:specVanish w:val="0"/>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15:restartNumberingAfterBreak="0">
    <w:nsid w:val="08F8328A"/>
    <w:multiLevelType w:val="hybridMultilevel"/>
    <w:tmpl w:val="2F9CC5D2"/>
    <w:lvl w:ilvl="0" w:tplc="04090001">
      <w:start w:val="1"/>
      <w:numFmt w:val="bullet"/>
      <w:lvlText w:val=""/>
      <w:lvlJc w:val="left"/>
      <w:pPr>
        <w:ind w:left="518" w:hanging="360"/>
      </w:pPr>
      <w:rPr>
        <w:rFonts w:ascii="Symbol" w:hAnsi="Symbol" w:hint="default"/>
      </w:rPr>
    </w:lvl>
    <w:lvl w:ilvl="1" w:tplc="04090003" w:tentative="1">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2" w15:restartNumberingAfterBreak="0">
    <w:nsid w:val="115346EA"/>
    <w:multiLevelType w:val="hybridMultilevel"/>
    <w:tmpl w:val="5ECC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F2A00"/>
    <w:multiLevelType w:val="hybridMultilevel"/>
    <w:tmpl w:val="22D003FE"/>
    <w:lvl w:ilvl="0" w:tplc="891099B6">
      <w:start w:val="1"/>
      <w:numFmt w:val="decimal"/>
      <w:pStyle w:val="Item"/>
      <w:lvlText w:val="%1."/>
      <w:lvlJc w:val="left"/>
      <w:pPr>
        <w:tabs>
          <w:tab w:val="num" w:pos="360"/>
        </w:tabs>
        <w:ind w:left="360" w:hanging="360"/>
      </w:pPr>
      <w:rPr>
        <w:rFonts w:ascii="Times New Roman" w:hAnsi="Times New Roman" w:hint="default"/>
        <w:b/>
        <w:i w:val="0"/>
        <w:strike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63AB2"/>
    <w:multiLevelType w:val="hybridMultilevel"/>
    <w:tmpl w:val="1FCE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96E91"/>
    <w:multiLevelType w:val="hybridMultilevel"/>
    <w:tmpl w:val="20DC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56CEC"/>
    <w:multiLevelType w:val="hybridMultilevel"/>
    <w:tmpl w:val="C87CD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5791F"/>
    <w:multiLevelType w:val="hybridMultilevel"/>
    <w:tmpl w:val="EB105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261C6D"/>
    <w:multiLevelType w:val="hybridMultilevel"/>
    <w:tmpl w:val="8D928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93554F2"/>
    <w:multiLevelType w:val="hybridMultilevel"/>
    <w:tmpl w:val="FBEE7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303676"/>
    <w:multiLevelType w:val="hybridMultilevel"/>
    <w:tmpl w:val="2FFC4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2837EB"/>
    <w:multiLevelType w:val="multilevel"/>
    <w:tmpl w:val="1FEADF44"/>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11"/>
  </w:num>
  <w:num w:numId="4">
    <w:abstractNumId w:val="8"/>
  </w:num>
  <w:num w:numId="5">
    <w:abstractNumId w:val="1"/>
  </w:num>
  <w:num w:numId="6">
    <w:abstractNumId w:val="9"/>
  </w:num>
  <w:num w:numId="7">
    <w:abstractNumId w:val="10"/>
  </w:num>
  <w:num w:numId="8">
    <w:abstractNumId w:val="4"/>
  </w:num>
  <w:num w:numId="9">
    <w:abstractNumId w:val="5"/>
  </w:num>
  <w:num w:numId="10">
    <w:abstractNumId w:val="7"/>
  </w:num>
  <w:num w:numId="11">
    <w:abstractNumId w:val="2"/>
  </w:num>
  <w:num w:numId="1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264"/>
    <w:rsid w:val="00006DB6"/>
    <w:rsid w:val="0001035C"/>
    <w:rsid w:val="00012BE3"/>
    <w:rsid w:val="00013B07"/>
    <w:rsid w:val="00013E2F"/>
    <w:rsid w:val="0001448A"/>
    <w:rsid w:val="00025AA5"/>
    <w:rsid w:val="000305AC"/>
    <w:rsid w:val="00030ADD"/>
    <w:rsid w:val="00030DE6"/>
    <w:rsid w:val="00035C4A"/>
    <w:rsid w:val="00036BB4"/>
    <w:rsid w:val="00040197"/>
    <w:rsid w:val="00040449"/>
    <w:rsid w:val="000408A5"/>
    <w:rsid w:val="00040E26"/>
    <w:rsid w:val="000411DC"/>
    <w:rsid w:val="000431B5"/>
    <w:rsid w:val="00050AED"/>
    <w:rsid w:val="0005118E"/>
    <w:rsid w:val="000547BF"/>
    <w:rsid w:val="00054BA3"/>
    <w:rsid w:val="00054C06"/>
    <w:rsid w:val="0006173D"/>
    <w:rsid w:val="000658F9"/>
    <w:rsid w:val="000671C6"/>
    <w:rsid w:val="00077DF7"/>
    <w:rsid w:val="00083AC4"/>
    <w:rsid w:val="000848F9"/>
    <w:rsid w:val="0008492A"/>
    <w:rsid w:val="0008726F"/>
    <w:rsid w:val="00087B10"/>
    <w:rsid w:val="00092242"/>
    <w:rsid w:val="000A296C"/>
    <w:rsid w:val="000A2EC1"/>
    <w:rsid w:val="000B12BD"/>
    <w:rsid w:val="000B1D55"/>
    <w:rsid w:val="000C0742"/>
    <w:rsid w:val="000C271F"/>
    <w:rsid w:val="000C3D7F"/>
    <w:rsid w:val="000C4923"/>
    <w:rsid w:val="000C4C0E"/>
    <w:rsid w:val="000C7840"/>
    <w:rsid w:val="000D2B56"/>
    <w:rsid w:val="000D3E2D"/>
    <w:rsid w:val="000D57EC"/>
    <w:rsid w:val="000D64A2"/>
    <w:rsid w:val="00104A29"/>
    <w:rsid w:val="001059F3"/>
    <w:rsid w:val="0011460D"/>
    <w:rsid w:val="001152B3"/>
    <w:rsid w:val="0011791F"/>
    <w:rsid w:val="0012100A"/>
    <w:rsid w:val="00127371"/>
    <w:rsid w:val="00127C1F"/>
    <w:rsid w:val="001358A8"/>
    <w:rsid w:val="0013614A"/>
    <w:rsid w:val="001364EF"/>
    <w:rsid w:val="00141735"/>
    <w:rsid w:val="00144BDD"/>
    <w:rsid w:val="001454F5"/>
    <w:rsid w:val="00147F75"/>
    <w:rsid w:val="001555F4"/>
    <w:rsid w:val="00161610"/>
    <w:rsid w:val="00164CA3"/>
    <w:rsid w:val="0019206B"/>
    <w:rsid w:val="0019375F"/>
    <w:rsid w:val="001953EB"/>
    <w:rsid w:val="00196782"/>
    <w:rsid w:val="001A2A50"/>
    <w:rsid w:val="001B046E"/>
    <w:rsid w:val="001B3542"/>
    <w:rsid w:val="001B3AD2"/>
    <w:rsid w:val="001B3D24"/>
    <w:rsid w:val="001C18B7"/>
    <w:rsid w:val="001C25EB"/>
    <w:rsid w:val="001D3E0D"/>
    <w:rsid w:val="001E1B94"/>
    <w:rsid w:val="001E5030"/>
    <w:rsid w:val="001E6DE6"/>
    <w:rsid w:val="001F259D"/>
    <w:rsid w:val="001F5A18"/>
    <w:rsid w:val="00201484"/>
    <w:rsid w:val="00205E91"/>
    <w:rsid w:val="00210C7E"/>
    <w:rsid w:val="002155F9"/>
    <w:rsid w:val="00215943"/>
    <w:rsid w:val="0021746E"/>
    <w:rsid w:val="00223875"/>
    <w:rsid w:val="00232227"/>
    <w:rsid w:val="002338B0"/>
    <w:rsid w:val="00236839"/>
    <w:rsid w:val="00237C0A"/>
    <w:rsid w:val="0024434F"/>
    <w:rsid w:val="00252C25"/>
    <w:rsid w:val="00254795"/>
    <w:rsid w:val="0027290D"/>
    <w:rsid w:val="00281093"/>
    <w:rsid w:val="00282CF9"/>
    <w:rsid w:val="0028587A"/>
    <w:rsid w:val="00286C8C"/>
    <w:rsid w:val="00290DB6"/>
    <w:rsid w:val="002A2B64"/>
    <w:rsid w:val="002B117A"/>
    <w:rsid w:val="002D3C9A"/>
    <w:rsid w:val="002E468C"/>
    <w:rsid w:val="002E564B"/>
    <w:rsid w:val="002E7148"/>
    <w:rsid w:val="002E7622"/>
    <w:rsid w:val="002F0D8B"/>
    <w:rsid w:val="002F43A8"/>
    <w:rsid w:val="003013B6"/>
    <w:rsid w:val="00310E08"/>
    <w:rsid w:val="00311A6F"/>
    <w:rsid w:val="00316DE2"/>
    <w:rsid w:val="0033136A"/>
    <w:rsid w:val="0034252B"/>
    <w:rsid w:val="00343B6A"/>
    <w:rsid w:val="00346169"/>
    <w:rsid w:val="003527D8"/>
    <w:rsid w:val="003545A3"/>
    <w:rsid w:val="003619C1"/>
    <w:rsid w:val="00361E35"/>
    <w:rsid w:val="00367910"/>
    <w:rsid w:val="003720BB"/>
    <w:rsid w:val="00377226"/>
    <w:rsid w:val="00380790"/>
    <w:rsid w:val="00385183"/>
    <w:rsid w:val="00386EC4"/>
    <w:rsid w:val="00390A7E"/>
    <w:rsid w:val="00391524"/>
    <w:rsid w:val="00393D69"/>
    <w:rsid w:val="003B4AF0"/>
    <w:rsid w:val="003B4BEF"/>
    <w:rsid w:val="003B53EC"/>
    <w:rsid w:val="003B6769"/>
    <w:rsid w:val="003B751E"/>
    <w:rsid w:val="003C6EC8"/>
    <w:rsid w:val="003D32CF"/>
    <w:rsid w:val="003D5262"/>
    <w:rsid w:val="003E3538"/>
    <w:rsid w:val="003F4141"/>
    <w:rsid w:val="003F58C2"/>
    <w:rsid w:val="003F60C3"/>
    <w:rsid w:val="003F728A"/>
    <w:rsid w:val="00405845"/>
    <w:rsid w:val="00405FC5"/>
    <w:rsid w:val="004076AC"/>
    <w:rsid w:val="004103ED"/>
    <w:rsid w:val="004106C3"/>
    <w:rsid w:val="00411D80"/>
    <w:rsid w:val="004162F3"/>
    <w:rsid w:val="004204DF"/>
    <w:rsid w:val="00427AD9"/>
    <w:rsid w:val="00437E7A"/>
    <w:rsid w:val="0044485C"/>
    <w:rsid w:val="00446867"/>
    <w:rsid w:val="0044765F"/>
    <w:rsid w:val="00450817"/>
    <w:rsid w:val="00451862"/>
    <w:rsid w:val="0046046F"/>
    <w:rsid w:val="00464F44"/>
    <w:rsid w:val="00466B77"/>
    <w:rsid w:val="00467F04"/>
    <w:rsid w:val="0047264C"/>
    <w:rsid w:val="00473D70"/>
    <w:rsid w:val="00483CCE"/>
    <w:rsid w:val="004849FD"/>
    <w:rsid w:val="00485E8B"/>
    <w:rsid w:val="00490B26"/>
    <w:rsid w:val="00490F52"/>
    <w:rsid w:val="00494BFB"/>
    <w:rsid w:val="004A1930"/>
    <w:rsid w:val="004A2866"/>
    <w:rsid w:val="004A294A"/>
    <w:rsid w:val="004A2F05"/>
    <w:rsid w:val="004A64E0"/>
    <w:rsid w:val="004B3134"/>
    <w:rsid w:val="004B35B8"/>
    <w:rsid w:val="004B57EF"/>
    <w:rsid w:val="004C0D23"/>
    <w:rsid w:val="004D0E0C"/>
    <w:rsid w:val="004D1CB3"/>
    <w:rsid w:val="004D3A41"/>
    <w:rsid w:val="004D6705"/>
    <w:rsid w:val="004D6834"/>
    <w:rsid w:val="004E40AF"/>
    <w:rsid w:val="004F0EE9"/>
    <w:rsid w:val="004F4CDD"/>
    <w:rsid w:val="004F6770"/>
    <w:rsid w:val="005123C7"/>
    <w:rsid w:val="00515F2B"/>
    <w:rsid w:val="005209D7"/>
    <w:rsid w:val="00524E10"/>
    <w:rsid w:val="0052718D"/>
    <w:rsid w:val="00536A41"/>
    <w:rsid w:val="00543A44"/>
    <w:rsid w:val="005548A0"/>
    <w:rsid w:val="00557E37"/>
    <w:rsid w:val="0058295A"/>
    <w:rsid w:val="00590BAA"/>
    <w:rsid w:val="005913C8"/>
    <w:rsid w:val="00593615"/>
    <w:rsid w:val="00594044"/>
    <w:rsid w:val="005956DF"/>
    <w:rsid w:val="005A2B22"/>
    <w:rsid w:val="005A68B9"/>
    <w:rsid w:val="005A7CED"/>
    <w:rsid w:val="005B286D"/>
    <w:rsid w:val="005C6A1E"/>
    <w:rsid w:val="005C7FDD"/>
    <w:rsid w:val="005D3E9B"/>
    <w:rsid w:val="005D5444"/>
    <w:rsid w:val="005E59DD"/>
    <w:rsid w:val="005F2789"/>
    <w:rsid w:val="005F3F2A"/>
    <w:rsid w:val="005F705E"/>
    <w:rsid w:val="005F7C4E"/>
    <w:rsid w:val="0060695A"/>
    <w:rsid w:val="00607D3B"/>
    <w:rsid w:val="00611F8F"/>
    <w:rsid w:val="006137FF"/>
    <w:rsid w:val="006169E4"/>
    <w:rsid w:val="00622166"/>
    <w:rsid w:val="0062342B"/>
    <w:rsid w:val="00624304"/>
    <w:rsid w:val="00643453"/>
    <w:rsid w:val="0065019F"/>
    <w:rsid w:val="00651A1E"/>
    <w:rsid w:val="00653939"/>
    <w:rsid w:val="00655301"/>
    <w:rsid w:val="00656731"/>
    <w:rsid w:val="006572B1"/>
    <w:rsid w:val="0065748D"/>
    <w:rsid w:val="00662369"/>
    <w:rsid w:val="00665DCE"/>
    <w:rsid w:val="006674EF"/>
    <w:rsid w:val="006729CB"/>
    <w:rsid w:val="00675DB2"/>
    <w:rsid w:val="00676154"/>
    <w:rsid w:val="0068120D"/>
    <w:rsid w:val="00695E82"/>
    <w:rsid w:val="006972C5"/>
    <w:rsid w:val="006B0FF0"/>
    <w:rsid w:val="006B3D56"/>
    <w:rsid w:val="006B7751"/>
    <w:rsid w:val="006C6ED7"/>
    <w:rsid w:val="006D0A12"/>
    <w:rsid w:val="006D4544"/>
    <w:rsid w:val="006E48E9"/>
    <w:rsid w:val="006E706C"/>
    <w:rsid w:val="006F2D34"/>
    <w:rsid w:val="006F4073"/>
    <w:rsid w:val="006F5D3C"/>
    <w:rsid w:val="0070472D"/>
    <w:rsid w:val="007068D8"/>
    <w:rsid w:val="00714084"/>
    <w:rsid w:val="00716A7A"/>
    <w:rsid w:val="0072046D"/>
    <w:rsid w:val="00720FC7"/>
    <w:rsid w:val="0072152B"/>
    <w:rsid w:val="00726A9A"/>
    <w:rsid w:val="00747E87"/>
    <w:rsid w:val="0075427D"/>
    <w:rsid w:val="007574D6"/>
    <w:rsid w:val="00771289"/>
    <w:rsid w:val="0078370C"/>
    <w:rsid w:val="00784F38"/>
    <w:rsid w:val="00791C13"/>
    <w:rsid w:val="00793016"/>
    <w:rsid w:val="007969A3"/>
    <w:rsid w:val="007969F1"/>
    <w:rsid w:val="007A022E"/>
    <w:rsid w:val="007A0AEA"/>
    <w:rsid w:val="007A1C8A"/>
    <w:rsid w:val="007A7CA6"/>
    <w:rsid w:val="007B00ED"/>
    <w:rsid w:val="007B1B0E"/>
    <w:rsid w:val="007D478C"/>
    <w:rsid w:val="007E0E59"/>
    <w:rsid w:val="007F1AEC"/>
    <w:rsid w:val="007F4FD5"/>
    <w:rsid w:val="007F7B75"/>
    <w:rsid w:val="00800765"/>
    <w:rsid w:val="00804FF0"/>
    <w:rsid w:val="00824C55"/>
    <w:rsid w:val="00840179"/>
    <w:rsid w:val="00840C77"/>
    <w:rsid w:val="00850131"/>
    <w:rsid w:val="008522E0"/>
    <w:rsid w:val="00855E6F"/>
    <w:rsid w:val="00863484"/>
    <w:rsid w:val="00871B88"/>
    <w:rsid w:val="00872B6D"/>
    <w:rsid w:val="00872FE9"/>
    <w:rsid w:val="00880AC5"/>
    <w:rsid w:val="00880D1D"/>
    <w:rsid w:val="00882C44"/>
    <w:rsid w:val="00885413"/>
    <w:rsid w:val="00887A4A"/>
    <w:rsid w:val="00891388"/>
    <w:rsid w:val="008926AA"/>
    <w:rsid w:val="008A123E"/>
    <w:rsid w:val="008B3A00"/>
    <w:rsid w:val="008B7BA8"/>
    <w:rsid w:val="008C3A2E"/>
    <w:rsid w:val="008D2B62"/>
    <w:rsid w:val="008D449B"/>
    <w:rsid w:val="008D461D"/>
    <w:rsid w:val="008E1694"/>
    <w:rsid w:val="008E32A2"/>
    <w:rsid w:val="008E3B66"/>
    <w:rsid w:val="008F5300"/>
    <w:rsid w:val="009009B4"/>
    <w:rsid w:val="00900F0A"/>
    <w:rsid w:val="009045E5"/>
    <w:rsid w:val="0091355F"/>
    <w:rsid w:val="00920E24"/>
    <w:rsid w:val="00921E22"/>
    <w:rsid w:val="00930888"/>
    <w:rsid w:val="009317D0"/>
    <w:rsid w:val="00931829"/>
    <w:rsid w:val="00935C08"/>
    <w:rsid w:val="009368B5"/>
    <w:rsid w:val="009372A5"/>
    <w:rsid w:val="00945F29"/>
    <w:rsid w:val="00946505"/>
    <w:rsid w:val="00953673"/>
    <w:rsid w:val="00957086"/>
    <w:rsid w:val="009623BF"/>
    <w:rsid w:val="0096527A"/>
    <w:rsid w:val="00975B59"/>
    <w:rsid w:val="00977BAE"/>
    <w:rsid w:val="0098497E"/>
    <w:rsid w:val="00987835"/>
    <w:rsid w:val="00991F77"/>
    <w:rsid w:val="009A1B5A"/>
    <w:rsid w:val="009A34F1"/>
    <w:rsid w:val="009A3FC6"/>
    <w:rsid w:val="009A7CC5"/>
    <w:rsid w:val="009B1370"/>
    <w:rsid w:val="009B6A62"/>
    <w:rsid w:val="009C16B1"/>
    <w:rsid w:val="009C333C"/>
    <w:rsid w:val="009C79FF"/>
    <w:rsid w:val="009D1C86"/>
    <w:rsid w:val="009D2271"/>
    <w:rsid w:val="009D5BA4"/>
    <w:rsid w:val="009E310D"/>
    <w:rsid w:val="009F49F0"/>
    <w:rsid w:val="00A02436"/>
    <w:rsid w:val="00A0339B"/>
    <w:rsid w:val="00A03A8F"/>
    <w:rsid w:val="00A0663F"/>
    <w:rsid w:val="00A13033"/>
    <w:rsid w:val="00A14CB6"/>
    <w:rsid w:val="00A1501C"/>
    <w:rsid w:val="00A2082F"/>
    <w:rsid w:val="00A23966"/>
    <w:rsid w:val="00A25C14"/>
    <w:rsid w:val="00A3145F"/>
    <w:rsid w:val="00A32D78"/>
    <w:rsid w:val="00A36EA0"/>
    <w:rsid w:val="00A370E0"/>
    <w:rsid w:val="00A605D9"/>
    <w:rsid w:val="00A641D6"/>
    <w:rsid w:val="00A65DE2"/>
    <w:rsid w:val="00A65F66"/>
    <w:rsid w:val="00A73EBA"/>
    <w:rsid w:val="00A82A7D"/>
    <w:rsid w:val="00A85264"/>
    <w:rsid w:val="00A901D4"/>
    <w:rsid w:val="00A9509E"/>
    <w:rsid w:val="00A95ED3"/>
    <w:rsid w:val="00A972D7"/>
    <w:rsid w:val="00AB6C28"/>
    <w:rsid w:val="00AC1229"/>
    <w:rsid w:val="00AC4387"/>
    <w:rsid w:val="00AC5196"/>
    <w:rsid w:val="00AC74E8"/>
    <w:rsid w:val="00AD1752"/>
    <w:rsid w:val="00AD2B56"/>
    <w:rsid w:val="00AD3484"/>
    <w:rsid w:val="00AD683F"/>
    <w:rsid w:val="00AE0997"/>
    <w:rsid w:val="00AE2F06"/>
    <w:rsid w:val="00AE7EEB"/>
    <w:rsid w:val="00AF0108"/>
    <w:rsid w:val="00AF0E6E"/>
    <w:rsid w:val="00AF2F53"/>
    <w:rsid w:val="00AF65C6"/>
    <w:rsid w:val="00AF7928"/>
    <w:rsid w:val="00B02AA1"/>
    <w:rsid w:val="00B0347F"/>
    <w:rsid w:val="00B04016"/>
    <w:rsid w:val="00B04B20"/>
    <w:rsid w:val="00B059B4"/>
    <w:rsid w:val="00B23F68"/>
    <w:rsid w:val="00B42113"/>
    <w:rsid w:val="00B431D6"/>
    <w:rsid w:val="00B4571B"/>
    <w:rsid w:val="00B461B0"/>
    <w:rsid w:val="00B46D55"/>
    <w:rsid w:val="00B509F8"/>
    <w:rsid w:val="00B669B1"/>
    <w:rsid w:val="00B76065"/>
    <w:rsid w:val="00B76FD2"/>
    <w:rsid w:val="00B80A56"/>
    <w:rsid w:val="00B82604"/>
    <w:rsid w:val="00B82606"/>
    <w:rsid w:val="00B841C6"/>
    <w:rsid w:val="00B861EA"/>
    <w:rsid w:val="00B87749"/>
    <w:rsid w:val="00B87FE2"/>
    <w:rsid w:val="00B94276"/>
    <w:rsid w:val="00BA1624"/>
    <w:rsid w:val="00BA645C"/>
    <w:rsid w:val="00BA6AC3"/>
    <w:rsid w:val="00BB68F6"/>
    <w:rsid w:val="00BB700F"/>
    <w:rsid w:val="00BC03EA"/>
    <w:rsid w:val="00BC040E"/>
    <w:rsid w:val="00BC7E49"/>
    <w:rsid w:val="00BD0B6E"/>
    <w:rsid w:val="00BE2622"/>
    <w:rsid w:val="00BE5D44"/>
    <w:rsid w:val="00BF065D"/>
    <w:rsid w:val="00C04C81"/>
    <w:rsid w:val="00C17F6F"/>
    <w:rsid w:val="00C27ACB"/>
    <w:rsid w:val="00C3275B"/>
    <w:rsid w:val="00C33654"/>
    <w:rsid w:val="00C367C6"/>
    <w:rsid w:val="00C36A54"/>
    <w:rsid w:val="00C4584A"/>
    <w:rsid w:val="00C622BE"/>
    <w:rsid w:val="00C7164F"/>
    <w:rsid w:val="00C76C16"/>
    <w:rsid w:val="00C8032B"/>
    <w:rsid w:val="00C80920"/>
    <w:rsid w:val="00C82795"/>
    <w:rsid w:val="00C845CB"/>
    <w:rsid w:val="00C9028B"/>
    <w:rsid w:val="00C96A79"/>
    <w:rsid w:val="00C97FD6"/>
    <w:rsid w:val="00CB408C"/>
    <w:rsid w:val="00CB7B44"/>
    <w:rsid w:val="00CC001D"/>
    <w:rsid w:val="00CC4D2C"/>
    <w:rsid w:val="00CD566A"/>
    <w:rsid w:val="00CD5DAE"/>
    <w:rsid w:val="00CD64A2"/>
    <w:rsid w:val="00CE024C"/>
    <w:rsid w:val="00CF3D71"/>
    <w:rsid w:val="00CF716B"/>
    <w:rsid w:val="00D02B7C"/>
    <w:rsid w:val="00D039EC"/>
    <w:rsid w:val="00D07DB9"/>
    <w:rsid w:val="00D14962"/>
    <w:rsid w:val="00D1718D"/>
    <w:rsid w:val="00D1779D"/>
    <w:rsid w:val="00D24A71"/>
    <w:rsid w:val="00D256A5"/>
    <w:rsid w:val="00D31D5B"/>
    <w:rsid w:val="00D41FC2"/>
    <w:rsid w:val="00D50104"/>
    <w:rsid w:val="00D532A5"/>
    <w:rsid w:val="00D56734"/>
    <w:rsid w:val="00D62D54"/>
    <w:rsid w:val="00D7047F"/>
    <w:rsid w:val="00D8480E"/>
    <w:rsid w:val="00D8698A"/>
    <w:rsid w:val="00D87868"/>
    <w:rsid w:val="00D95C9C"/>
    <w:rsid w:val="00DA2D5A"/>
    <w:rsid w:val="00DA3250"/>
    <w:rsid w:val="00DA3EA7"/>
    <w:rsid w:val="00DA5221"/>
    <w:rsid w:val="00DA5C3E"/>
    <w:rsid w:val="00DA7727"/>
    <w:rsid w:val="00DB0FFE"/>
    <w:rsid w:val="00DB22CF"/>
    <w:rsid w:val="00DC11A5"/>
    <w:rsid w:val="00DD27EC"/>
    <w:rsid w:val="00DD2968"/>
    <w:rsid w:val="00DD31D7"/>
    <w:rsid w:val="00DD3F88"/>
    <w:rsid w:val="00DD7F3A"/>
    <w:rsid w:val="00DE6281"/>
    <w:rsid w:val="00DE6F09"/>
    <w:rsid w:val="00DE7DB7"/>
    <w:rsid w:val="00DF6954"/>
    <w:rsid w:val="00E00C4B"/>
    <w:rsid w:val="00E026F3"/>
    <w:rsid w:val="00E02C1A"/>
    <w:rsid w:val="00E053D6"/>
    <w:rsid w:val="00E06ED7"/>
    <w:rsid w:val="00E10CD3"/>
    <w:rsid w:val="00E13B9A"/>
    <w:rsid w:val="00E149C8"/>
    <w:rsid w:val="00E15768"/>
    <w:rsid w:val="00E22D36"/>
    <w:rsid w:val="00E34252"/>
    <w:rsid w:val="00E46A7A"/>
    <w:rsid w:val="00E53F67"/>
    <w:rsid w:val="00E55E0F"/>
    <w:rsid w:val="00E56011"/>
    <w:rsid w:val="00E6224A"/>
    <w:rsid w:val="00E62B45"/>
    <w:rsid w:val="00E62C01"/>
    <w:rsid w:val="00E66009"/>
    <w:rsid w:val="00E71165"/>
    <w:rsid w:val="00E712FA"/>
    <w:rsid w:val="00E73031"/>
    <w:rsid w:val="00E73E29"/>
    <w:rsid w:val="00E746B5"/>
    <w:rsid w:val="00E84016"/>
    <w:rsid w:val="00E84E63"/>
    <w:rsid w:val="00E91A25"/>
    <w:rsid w:val="00E95624"/>
    <w:rsid w:val="00E97418"/>
    <w:rsid w:val="00EA75D7"/>
    <w:rsid w:val="00EB3203"/>
    <w:rsid w:val="00EB397E"/>
    <w:rsid w:val="00EB4E4B"/>
    <w:rsid w:val="00EB5DFD"/>
    <w:rsid w:val="00EC28A2"/>
    <w:rsid w:val="00EC338B"/>
    <w:rsid w:val="00EC58B4"/>
    <w:rsid w:val="00ED2DB7"/>
    <w:rsid w:val="00ED327C"/>
    <w:rsid w:val="00ED4DD5"/>
    <w:rsid w:val="00EE0F72"/>
    <w:rsid w:val="00EE4499"/>
    <w:rsid w:val="00EF602D"/>
    <w:rsid w:val="00EF6385"/>
    <w:rsid w:val="00F00AC9"/>
    <w:rsid w:val="00F037D2"/>
    <w:rsid w:val="00F059D6"/>
    <w:rsid w:val="00F066D2"/>
    <w:rsid w:val="00F069BC"/>
    <w:rsid w:val="00F11B2B"/>
    <w:rsid w:val="00F20F21"/>
    <w:rsid w:val="00F213E3"/>
    <w:rsid w:val="00F22633"/>
    <w:rsid w:val="00F22637"/>
    <w:rsid w:val="00F23675"/>
    <w:rsid w:val="00F2690E"/>
    <w:rsid w:val="00F33376"/>
    <w:rsid w:val="00F3771D"/>
    <w:rsid w:val="00F40021"/>
    <w:rsid w:val="00F408BE"/>
    <w:rsid w:val="00F40B16"/>
    <w:rsid w:val="00F45801"/>
    <w:rsid w:val="00F62AE0"/>
    <w:rsid w:val="00F74A93"/>
    <w:rsid w:val="00F772E9"/>
    <w:rsid w:val="00F801D6"/>
    <w:rsid w:val="00F93D76"/>
    <w:rsid w:val="00F9577D"/>
    <w:rsid w:val="00F965F7"/>
    <w:rsid w:val="00FA4004"/>
    <w:rsid w:val="00FB4A6F"/>
    <w:rsid w:val="00FC050F"/>
    <w:rsid w:val="00FC2439"/>
    <w:rsid w:val="00FC2C95"/>
    <w:rsid w:val="00FC6C75"/>
    <w:rsid w:val="00FC7D82"/>
    <w:rsid w:val="00FD1859"/>
    <w:rsid w:val="00FD4375"/>
    <w:rsid w:val="00FD6177"/>
    <w:rsid w:val="00FD699D"/>
    <w:rsid w:val="00FE7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24B81D5E"/>
  <w15:docId w15:val="{3D7CCD97-8291-452B-BBF7-8C415F73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aliases w:val="Paragraph Text"/>
    <w:qFormat/>
    <w:rsid w:val="0096527A"/>
    <w:pPr>
      <w:contextualSpacing/>
    </w:pPr>
    <w:rPr>
      <w:rFonts w:eastAsia="MS Mincho"/>
      <w:sz w:val="24"/>
    </w:rPr>
  </w:style>
  <w:style w:type="paragraph" w:styleId="Heading1">
    <w:name w:val="heading 1"/>
    <w:aliases w:val="Level 1 Chapter Title"/>
    <w:basedOn w:val="Normal"/>
    <w:next w:val="Normal"/>
    <w:link w:val="Heading1Char"/>
    <w:uiPriority w:val="9"/>
    <w:qFormat/>
    <w:rsid w:val="0096527A"/>
    <w:pPr>
      <w:keepNext/>
      <w:tabs>
        <w:tab w:val="left" w:pos="158"/>
        <w:tab w:val="left" w:pos="187"/>
        <w:tab w:val="left" w:pos="1008"/>
        <w:tab w:val="left" w:pos="1296"/>
      </w:tabs>
      <w:spacing w:before="240"/>
      <w:outlineLvl w:val="0"/>
    </w:pPr>
    <w:rPr>
      <w:b/>
      <w:bCs/>
      <w:caps/>
      <w:spacing w:val="15"/>
      <w:szCs w:val="24"/>
    </w:rPr>
  </w:style>
  <w:style w:type="paragraph" w:styleId="Heading2">
    <w:name w:val="heading 2"/>
    <w:aliases w:val="Level 2 Heading"/>
    <w:basedOn w:val="Heading1"/>
    <w:next w:val="Normal"/>
    <w:link w:val="Heading2Char"/>
    <w:uiPriority w:val="9"/>
    <w:unhideWhenUsed/>
    <w:qFormat/>
    <w:rsid w:val="002F43A8"/>
    <w:pPr>
      <w:outlineLvl w:val="1"/>
    </w:pPr>
    <w:rPr>
      <w:caps w:val="0"/>
      <w:sz w:val="22"/>
    </w:rPr>
  </w:style>
  <w:style w:type="paragraph" w:styleId="Heading3">
    <w:name w:val="heading 3"/>
    <w:aliases w:val="Level 3 Heading"/>
    <w:basedOn w:val="Normal"/>
    <w:next w:val="Normal"/>
    <w:link w:val="Heading3Char"/>
    <w:uiPriority w:val="9"/>
    <w:unhideWhenUsed/>
    <w:qFormat/>
    <w:rsid w:val="002F43A8"/>
    <w:pPr>
      <w:spacing w:before="120"/>
      <w:outlineLvl w:val="2"/>
    </w:pPr>
    <w:rPr>
      <w:i/>
    </w:rPr>
  </w:style>
  <w:style w:type="paragraph" w:styleId="Heading4">
    <w:name w:val="heading 4"/>
    <w:aliases w:val="Level 4 Heading"/>
    <w:basedOn w:val="Normal"/>
    <w:next w:val="Normal"/>
    <w:link w:val="Heading4Char"/>
    <w:uiPriority w:val="9"/>
    <w:unhideWhenUsed/>
    <w:qFormat/>
    <w:rsid w:val="00B76065"/>
    <w:pPr>
      <w:keepNext/>
      <w:spacing w:before="120"/>
      <w:outlineLvl w:val="3"/>
    </w:pPr>
    <w:rPr>
      <w:color w:val="365F91"/>
      <w:spacing w:val="10"/>
      <w:szCs w:val="22"/>
    </w:rPr>
  </w:style>
  <w:style w:type="paragraph" w:styleId="Heading5">
    <w:name w:val="heading 5"/>
    <w:basedOn w:val="Normal"/>
    <w:next w:val="Normal"/>
    <w:link w:val="Heading5Char"/>
    <w:uiPriority w:val="9"/>
    <w:unhideWhenUsed/>
    <w:qFormat/>
    <w:rsid w:val="002E7148"/>
    <w:pPr>
      <w:numPr>
        <w:ilvl w:val="4"/>
        <w:numId w:val="1"/>
      </w:numPr>
      <w:pBdr>
        <w:bottom w:val="single" w:sz="6" w:space="1" w:color="4F81BD"/>
      </w:pBdr>
      <w:spacing w:before="300"/>
      <w:outlineLvl w:val="4"/>
    </w:pPr>
    <w:rPr>
      <w:caps/>
      <w:color w:val="365F91"/>
      <w:spacing w:val="10"/>
      <w:szCs w:val="22"/>
    </w:rPr>
  </w:style>
  <w:style w:type="paragraph" w:styleId="Heading6">
    <w:name w:val="heading 6"/>
    <w:basedOn w:val="Normal"/>
    <w:next w:val="Normal"/>
    <w:link w:val="Heading6Char"/>
    <w:uiPriority w:val="9"/>
    <w:unhideWhenUsed/>
    <w:qFormat/>
    <w:rsid w:val="002E7148"/>
    <w:pPr>
      <w:numPr>
        <w:ilvl w:val="5"/>
        <w:numId w:val="1"/>
      </w:numPr>
      <w:pBdr>
        <w:bottom w:val="dotted" w:sz="6" w:space="1" w:color="4F81BD"/>
      </w:pBdr>
      <w:spacing w:before="300"/>
      <w:outlineLvl w:val="5"/>
    </w:pPr>
    <w:rPr>
      <w:caps/>
      <w:color w:val="365F91"/>
      <w:spacing w:val="10"/>
      <w:szCs w:val="22"/>
    </w:rPr>
  </w:style>
  <w:style w:type="paragraph" w:styleId="Heading7">
    <w:name w:val="heading 7"/>
    <w:basedOn w:val="Normal"/>
    <w:next w:val="Normal"/>
    <w:link w:val="Heading7Char"/>
    <w:uiPriority w:val="9"/>
    <w:semiHidden/>
    <w:unhideWhenUsed/>
    <w:qFormat/>
    <w:rsid w:val="002E7148"/>
    <w:pPr>
      <w:numPr>
        <w:ilvl w:val="6"/>
        <w:numId w:val="1"/>
      </w:numPr>
      <w:spacing w:before="300"/>
      <w:outlineLvl w:val="6"/>
    </w:pPr>
    <w:rPr>
      <w:caps/>
      <w:color w:val="365F91"/>
      <w:spacing w:val="10"/>
      <w:szCs w:val="22"/>
    </w:rPr>
  </w:style>
  <w:style w:type="paragraph" w:styleId="Heading8">
    <w:name w:val="heading 8"/>
    <w:basedOn w:val="Normal"/>
    <w:next w:val="Normal"/>
    <w:link w:val="Heading8Char"/>
    <w:uiPriority w:val="9"/>
    <w:semiHidden/>
    <w:unhideWhenUsed/>
    <w:qFormat/>
    <w:rsid w:val="002E7148"/>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2E7148"/>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7148"/>
    <w:pPr>
      <w:tabs>
        <w:tab w:val="center" w:pos="4320"/>
        <w:tab w:val="right" w:pos="8640"/>
      </w:tabs>
    </w:pPr>
  </w:style>
  <w:style w:type="paragraph" w:styleId="Footer">
    <w:name w:val="footer"/>
    <w:basedOn w:val="Normal"/>
    <w:link w:val="FooterChar"/>
    <w:uiPriority w:val="99"/>
    <w:rsid w:val="002E7148"/>
    <w:pPr>
      <w:tabs>
        <w:tab w:val="center" w:pos="4320"/>
        <w:tab w:val="right" w:pos="8640"/>
      </w:tabs>
    </w:pPr>
  </w:style>
  <w:style w:type="character" w:styleId="PageNumber">
    <w:name w:val="page number"/>
    <w:basedOn w:val="DefaultParagraphFont"/>
    <w:rsid w:val="002E7148"/>
  </w:style>
  <w:style w:type="paragraph" w:customStyle="1" w:styleId="Text">
    <w:name w:val="Text"/>
    <w:basedOn w:val="Normal"/>
    <w:link w:val="TextChar"/>
    <w:rsid w:val="002E7148"/>
  </w:style>
  <w:style w:type="paragraph" w:customStyle="1" w:styleId="Disclaimer">
    <w:name w:val="Disclaimer"/>
    <w:basedOn w:val="Text"/>
    <w:link w:val="DisclaimerChar"/>
    <w:rsid w:val="002E7148"/>
    <w:rPr>
      <w:sz w:val="18"/>
    </w:rPr>
  </w:style>
  <w:style w:type="paragraph" w:customStyle="1" w:styleId="Publisher">
    <w:name w:val="Publisher"/>
    <w:basedOn w:val="Text"/>
    <w:rsid w:val="002E7148"/>
    <w:rPr>
      <w:i/>
      <w:color w:val="7F7F7F"/>
    </w:rPr>
  </w:style>
  <w:style w:type="paragraph" w:customStyle="1" w:styleId="ReportTitle">
    <w:name w:val="Report Title"/>
    <w:basedOn w:val="Text"/>
    <w:rsid w:val="002E7148"/>
    <w:pPr>
      <w:spacing w:line="400" w:lineRule="exact"/>
      <w:jc w:val="center"/>
    </w:pPr>
    <w:rPr>
      <w:b/>
      <w:sz w:val="36"/>
    </w:rPr>
  </w:style>
  <w:style w:type="paragraph" w:customStyle="1" w:styleId="Author">
    <w:name w:val="Author"/>
    <w:basedOn w:val="Text"/>
    <w:rsid w:val="002E7148"/>
  </w:style>
  <w:style w:type="paragraph" w:customStyle="1" w:styleId="ChapterTitle">
    <w:name w:val="Chapter Title"/>
    <w:basedOn w:val="Disclaimer"/>
    <w:link w:val="ChapterTitleChar"/>
    <w:rsid w:val="002E7148"/>
    <w:pPr>
      <w:keepNext/>
      <w:keepLines/>
      <w:pageBreakBefore/>
      <w:spacing w:after="360"/>
      <w:jc w:val="center"/>
    </w:pPr>
    <w:rPr>
      <w:b/>
      <w:sz w:val="28"/>
    </w:rPr>
  </w:style>
  <w:style w:type="character" w:customStyle="1" w:styleId="TextChar">
    <w:name w:val="Text Char"/>
    <w:link w:val="Text"/>
    <w:rsid w:val="002E7148"/>
    <w:rPr>
      <w:rFonts w:ascii="Calibri" w:eastAsia="MS Mincho" w:hAnsi="Calibri" w:cs="Times New Roman"/>
      <w:sz w:val="22"/>
    </w:rPr>
  </w:style>
  <w:style w:type="character" w:customStyle="1" w:styleId="DisclaimerChar">
    <w:name w:val="Disclaimer Char"/>
    <w:link w:val="Disclaimer"/>
    <w:rsid w:val="002E7148"/>
    <w:rPr>
      <w:rFonts w:ascii="Calibri" w:eastAsia="MS Mincho" w:hAnsi="Calibri" w:cs="Times New Roman"/>
      <w:sz w:val="18"/>
    </w:rPr>
  </w:style>
  <w:style w:type="character" w:customStyle="1" w:styleId="ChapterTitleChar">
    <w:name w:val="Chapter Title Char"/>
    <w:link w:val="ChapterTitle"/>
    <w:rsid w:val="002E7148"/>
    <w:rPr>
      <w:rFonts w:ascii="Calibri" w:eastAsia="MS Mincho" w:hAnsi="Calibri" w:cs="Times New Roman"/>
      <w:b/>
      <w:sz w:val="28"/>
    </w:rPr>
  </w:style>
  <w:style w:type="paragraph" w:customStyle="1" w:styleId="TOC1">
    <w:name w:val="TOC1"/>
    <w:basedOn w:val="Text"/>
    <w:rsid w:val="002E7148"/>
    <w:pPr>
      <w:tabs>
        <w:tab w:val="decimal" w:leader="dot" w:pos="9360"/>
      </w:tabs>
    </w:pPr>
  </w:style>
  <w:style w:type="paragraph" w:customStyle="1" w:styleId="TOC2">
    <w:name w:val="TOC2"/>
    <w:basedOn w:val="TOC1"/>
    <w:rsid w:val="002E7148"/>
    <w:pPr>
      <w:ind w:left="360"/>
    </w:pPr>
  </w:style>
  <w:style w:type="paragraph" w:customStyle="1" w:styleId="TOC3">
    <w:name w:val="TOC3"/>
    <w:basedOn w:val="TOC2"/>
    <w:rsid w:val="002E7148"/>
    <w:pPr>
      <w:ind w:left="720"/>
    </w:pPr>
  </w:style>
  <w:style w:type="paragraph" w:customStyle="1" w:styleId="References">
    <w:name w:val="References"/>
    <w:basedOn w:val="Normal"/>
    <w:rsid w:val="002E7148"/>
    <w:pPr>
      <w:autoSpaceDE w:val="0"/>
      <w:autoSpaceDN w:val="0"/>
      <w:adjustRightInd w:val="0"/>
      <w:ind w:left="360" w:hanging="360"/>
    </w:pPr>
    <w:rPr>
      <w:szCs w:val="29"/>
    </w:rPr>
  </w:style>
  <w:style w:type="character" w:styleId="Hyperlink">
    <w:name w:val="Hyperlink"/>
    <w:uiPriority w:val="99"/>
    <w:rsid w:val="002E7148"/>
    <w:rPr>
      <w:color w:val="0000FF"/>
      <w:u w:val="single"/>
    </w:rPr>
  </w:style>
  <w:style w:type="table" w:styleId="TableGrid">
    <w:name w:val="Table Grid"/>
    <w:basedOn w:val="TableNormal"/>
    <w:rsid w:val="002E7148"/>
    <w:pPr>
      <w:spacing w:before="200" w:after="200" w:line="276" w:lineRule="auto"/>
    </w:pPr>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Text"/>
    <w:rsid w:val="002E7148"/>
    <w:pPr>
      <w:jc w:val="center"/>
    </w:pPr>
  </w:style>
  <w:style w:type="paragraph" w:customStyle="1" w:styleId="TableTitle">
    <w:name w:val="Table Title"/>
    <w:basedOn w:val="Text"/>
    <w:rsid w:val="002E7148"/>
    <w:pPr>
      <w:tabs>
        <w:tab w:val="left" w:pos="720"/>
      </w:tabs>
      <w:spacing w:after="80"/>
      <w:ind w:left="720" w:hanging="720"/>
    </w:pPr>
  </w:style>
  <w:style w:type="paragraph" w:styleId="NormalWeb">
    <w:name w:val="Normal (Web)"/>
    <w:basedOn w:val="Normal"/>
    <w:uiPriority w:val="99"/>
    <w:rsid w:val="002E7148"/>
    <w:pPr>
      <w:spacing w:before="100" w:beforeAutospacing="1" w:after="100" w:afterAutospacing="1"/>
    </w:pPr>
    <w:rPr>
      <w:szCs w:val="24"/>
    </w:rPr>
  </w:style>
  <w:style w:type="character" w:styleId="FollowedHyperlink">
    <w:name w:val="FollowedHyperlink"/>
    <w:rsid w:val="002E7148"/>
    <w:rPr>
      <w:color w:val="800080"/>
      <w:u w:val="single"/>
    </w:rPr>
  </w:style>
  <w:style w:type="paragraph" w:styleId="BodyText">
    <w:name w:val="Body Text"/>
    <w:basedOn w:val="Normal"/>
    <w:link w:val="BodyTextChar"/>
    <w:rsid w:val="002E7148"/>
    <w:rPr>
      <w:szCs w:val="24"/>
    </w:rPr>
  </w:style>
  <w:style w:type="character" w:customStyle="1" w:styleId="BodyTextChar">
    <w:name w:val="Body Text Char"/>
    <w:link w:val="BodyText"/>
    <w:rsid w:val="002E7148"/>
    <w:rPr>
      <w:rFonts w:ascii="Calibri" w:eastAsia="MS Mincho" w:hAnsi="Calibri" w:cs="Times New Roman"/>
      <w:sz w:val="22"/>
      <w:szCs w:val="24"/>
    </w:rPr>
  </w:style>
  <w:style w:type="character" w:customStyle="1" w:styleId="Heading3Char">
    <w:name w:val="Heading 3 Char"/>
    <w:aliases w:val="Level 3 Heading Char"/>
    <w:link w:val="Heading3"/>
    <w:uiPriority w:val="9"/>
    <w:rsid w:val="002F43A8"/>
    <w:rPr>
      <w:rFonts w:eastAsia="MS Mincho"/>
      <w:i/>
      <w:sz w:val="24"/>
    </w:rPr>
  </w:style>
  <w:style w:type="character" w:customStyle="1" w:styleId="Heading4Char">
    <w:name w:val="Heading 4 Char"/>
    <w:aliases w:val="Level 4 Heading Char"/>
    <w:link w:val="Heading4"/>
    <w:uiPriority w:val="9"/>
    <w:rsid w:val="00B76065"/>
    <w:rPr>
      <w:rFonts w:ascii="Calibri" w:eastAsia="MS Mincho" w:hAnsi="Calibri"/>
      <w:color w:val="365F91"/>
      <w:spacing w:val="10"/>
      <w:sz w:val="22"/>
      <w:szCs w:val="22"/>
    </w:rPr>
  </w:style>
  <w:style w:type="paragraph" w:styleId="BalloonText">
    <w:name w:val="Balloon Text"/>
    <w:basedOn w:val="Normal"/>
    <w:link w:val="BalloonTextChar"/>
    <w:rsid w:val="002E7148"/>
    <w:rPr>
      <w:rFonts w:ascii="Tahoma" w:hAnsi="Tahoma" w:cs="Tahoma"/>
      <w:sz w:val="16"/>
      <w:szCs w:val="16"/>
    </w:rPr>
  </w:style>
  <w:style w:type="character" w:customStyle="1" w:styleId="BalloonTextChar">
    <w:name w:val="Balloon Text Char"/>
    <w:link w:val="BalloonText"/>
    <w:rsid w:val="002E7148"/>
    <w:rPr>
      <w:rFonts w:ascii="Tahoma" w:eastAsia="MS Mincho" w:hAnsi="Tahoma" w:cs="Tahoma"/>
      <w:sz w:val="16"/>
      <w:szCs w:val="16"/>
    </w:rPr>
  </w:style>
  <w:style w:type="character" w:customStyle="1" w:styleId="Heading1Char">
    <w:name w:val="Heading 1 Char"/>
    <w:aliases w:val="Level 1 Chapter Title Char"/>
    <w:link w:val="Heading1"/>
    <w:uiPriority w:val="9"/>
    <w:rsid w:val="0096527A"/>
    <w:rPr>
      <w:rFonts w:eastAsia="MS Mincho"/>
      <w:b/>
      <w:bCs/>
      <w:caps/>
      <w:spacing w:val="15"/>
      <w:sz w:val="24"/>
      <w:szCs w:val="24"/>
    </w:rPr>
  </w:style>
  <w:style w:type="paragraph" w:styleId="Title">
    <w:name w:val="Title"/>
    <w:basedOn w:val="Normal"/>
    <w:next w:val="Normal"/>
    <w:link w:val="TitleChar"/>
    <w:uiPriority w:val="10"/>
    <w:qFormat/>
    <w:rsid w:val="002E7148"/>
    <w:rPr>
      <w:b/>
      <w:caps/>
      <w:color w:val="1F497D"/>
      <w:spacing w:val="10"/>
      <w:kern w:val="28"/>
      <w:sz w:val="32"/>
      <w:szCs w:val="52"/>
    </w:rPr>
  </w:style>
  <w:style w:type="character" w:customStyle="1" w:styleId="TitleChar">
    <w:name w:val="Title Char"/>
    <w:link w:val="Title"/>
    <w:uiPriority w:val="10"/>
    <w:rsid w:val="002E7148"/>
    <w:rPr>
      <w:rFonts w:ascii="Calibri" w:eastAsia="MS Mincho" w:hAnsi="Calibri" w:cs="Times New Roman"/>
      <w:b/>
      <w:caps/>
      <w:color w:val="1F497D"/>
      <w:spacing w:val="10"/>
      <w:kern w:val="28"/>
      <w:sz w:val="32"/>
      <w:szCs w:val="52"/>
    </w:rPr>
  </w:style>
  <w:style w:type="paragraph" w:styleId="Subtitle">
    <w:name w:val="Subtitle"/>
    <w:basedOn w:val="Normal"/>
    <w:next w:val="Normal"/>
    <w:link w:val="SubtitleChar"/>
    <w:uiPriority w:val="11"/>
    <w:qFormat/>
    <w:rsid w:val="002E7148"/>
    <w:pPr>
      <w:spacing w:after="1000"/>
    </w:pPr>
    <w:rPr>
      <w:caps/>
      <w:color w:val="595959"/>
      <w:spacing w:val="10"/>
      <w:szCs w:val="24"/>
    </w:rPr>
  </w:style>
  <w:style w:type="character" w:customStyle="1" w:styleId="SubtitleChar">
    <w:name w:val="Subtitle Char"/>
    <w:link w:val="Subtitle"/>
    <w:uiPriority w:val="11"/>
    <w:rsid w:val="002E7148"/>
    <w:rPr>
      <w:rFonts w:ascii="Calibri" w:eastAsia="MS Mincho" w:hAnsi="Calibri" w:cs="Times New Roman"/>
      <w:caps/>
      <w:color w:val="595959"/>
      <w:spacing w:val="10"/>
      <w:sz w:val="22"/>
      <w:szCs w:val="24"/>
    </w:rPr>
  </w:style>
  <w:style w:type="paragraph" w:styleId="ListParagraph">
    <w:name w:val="List Paragraph"/>
    <w:basedOn w:val="Normal"/>
    <w:uiPriority w:val="34"/>
    <w:qFormat/>
    <w:rsid w:val="002E7148"/>
    <w:pPr>
      <w:ind w:left="720"/>
    </w:pPr>
  </w:style>
  <w:style w:type="paragraph" w:styleId="Caption">
    <w:name w:val="caption"/>
    <w:basedOn w:val="Normal"/>
    <w:next w:val="Normal"/>
    <w:uiPriority w:val="35"/>
    <w:unhideWhenUsed/>
    <w:qFormat/>
    <w:rsid w:val="00092242"/>
    <w:pPr>
      <w:jc w:val="center"/>
    </w:pPr>
    <w:rPr>
      <w:bCs/>
      <w:color w:val="000000" w:themeColor="text1"/>
      <w:szCs w:val="16"/>
    </w:rPr>
  </w:style>
  <w:style w:type="paragraph" w:styleId="TableofFigures">
    <w:name w:val="table of figures"/>
    <w:basedOn w:val="Normal"/>
    <w:next w:val="Normal"/>
    <w:uiPriority w:val="99"/>
    <w:rsid w:val="002E7148"/>
  </w:style>
  <w:style w:type="character" w:customStyle="1" w:styleId="FooterChar">
    <w:name w:val="Footer Char"/>
    <w:link w:val="Footer"/>
    <w:uiPriority w:val="99"/>
    <w:rsid w:val="002E7148"/>
    <w:rPr>
      <w:rFonts w:ascii="Calibri" w:eastAsia="MS Mincho" w:hAnsi="Calibri" w:cs="Times New Roman"/>
      <w:sz w:val="22"/>
    </w:rPr>
  </w:style>
  <w:style w:type="character" w:customStyle="1" w:styleId="Heading5Char">
    <w:name w:val="Heading 5 Char"/>
    <w:link w:val="Heading5"/>
    <w:uiPriority w:val="9"/>
    <w:rsid w:val="002E7148"/>
    <w:rPr>
      <w:rFonts w:ascii="Calibri" w:eastAsia="MS Mincho" w:hAnsi="Calibri"/>
      <w:caps/>
      <w:color w:val="365F91"/>
      <w:spacing w:val="10"/>
      <w:sz w:val="22"/>
      <w:szCs w:val="22"/>
    </w:rPr>
  </w:style>
  <w:style w:type="character" w:customStyle="1" w:styleId="Heading6Char">
    <w:name w:val="Heading 6 Char"/>
    <w:link w:val="Heading6"/>
    <w:uiPriority w:val="9"/>
    <w:rsid w:val="002E7148"/>
    <w:rPr>
      <w:rFonts w:ascii="Calibri" w:eastAsia="MS Mincho" w:hAnsi="Calibri"/>
      <w:caps/>
      <w:color w:val="365F91"/>
      <w:spacing w:val="10"/>
      <w:sz w:val="22"/>
      <w:szCs w:val="22"/>
    </w:rPr>
  </w:style>
  <w:style w:type="character" w:customStyle="1" w:styleId="Heading7Char">
    <w:name w:val="Heading 7 Char"/>
    <w:link w:val="Heading7"/>
    <w:uiPriority w:val="9"/>
    <w:semiHidden/>
    <w:rsid w:val="002E7148"/>
    <w:rPr>
      <w:rFonts w:ascii="Calibri" w:eastAsia="MS Mincho" w:hAnsi="Calibri"/>
      <w:caps/>
      <w:color w:val="365F91"/>
      <w:spacing w:val="10"/>
      <w:sz w:val="22"/>
      <w:szCs w:val="22"/>
    </w:rPr>
  </w:style>
  <w:style w:type="character" w:customStyle="1" w:styleId="Heading8Char">
    <w:name w:val="Heading 8 Char"/>
    <w:link w:val="Heading8"/>
    <w:uiPriority w:val="9"/>
    <w:semiHidden/>
    <w:rsid w:val="002E7148"/>
    <w:rPr>
      <w:rFonts w:ascii="Calibri" w:eastAsia="MS Mincho" w:hAnsi="Calibri"/>
      <w:caps/>
      <w:spacing w:val="10"/>
      <w:sz w:val="18"/>
      <w:szCs w:val="18"/>
    </w:rPr>
  </w:style>
  <w:style w:type="character" w:customStyle="1" w:styleId="Heading9Char">
    <w:name w:val="Heading 9 Char"/>
    <w:link w:val="Heading9"/>
    <w:uiPriority w:val="9"/>
    <w:semiHidden/>
    <w:rsid w:val="002E7148"/>
    <w:rPr>
      <w:rFonts w:ascii="Calibri" w:eastAsia="MS Mincho" w:hAnsi="Calibri"/>
      <w:i/>
      <w:caps/>
      <w:spacing w:val="10"/>
      <w:sz w:val="18"/>
      <w:szCs w:val="18"/>
    </w:rPr>
  </w:style>
  <w:style w:type="paragraph" w:styleId="TOCHeading">
    <w:name w:val="TOC Heading"/>
    <w:basedOn w:val="Heading1"/>
    <w:next w:val="Normal"/>
    <w:uiPriority w:val="39"/>
    <w:semiHidden/>
    <w:unhideWhenUsed/>
    <w:qFormat/>
    <w:rsid w:val="002E7148"/>
    <w:pPr>
      <w:outlineLvl w:val="9"/>
    </w:pPr>
    <w:rPr>
      <w:lang w:bidi="en-US"/>
    </w:rPr>
  </w:style>
  <w:style w:type="paragraph" w:styleId="TOC10">
    <w:name w:val="toc 1"/>
    <w:basedOn w:val="Normal"/>
    <w:next w:val="Normal"/>
    <w:autoRedefine/>
    <w:uiPriority w:val="39"/>
    <w:rsid w:val="000C7840"/>
    <w:pPr>
      <w:tabs>
        <w:tab w:val="right" w:leader="dot" w:pos="9350"/>
      </w:tabs>
      <w:spacing w:after="100"/>
    </w:pPr>
    <w:rPr>
      <w:b/>
      <w:noProof/>
      <w:color w:val="1F497D"/>
    </w:rPr>
  </w:style>
  <w:style w:type="paragraph" w:styleId="TOC20">
    <w:name w:val="toc 2"/>
    <w:basedOn w:val="Normal"/>
    <w:next w:val="Normal"/>
    <w:autoRedefine/>
    <w:uiPriority w:val="39"/>
    <w:rsid w:val="002E7148"/>
    <w:pPr>
      <w:spacing w:after="100"/>
      <w:ind w:left="240"/>
    </w:pPr>
  </w:style>
  <w:style w:type="paragraph" w:styleId="TOC30">
    <w:name w:val="toc 3"/>
    <w:basedOn w:val="Normal"/>
    <w:next w:val="Normal"/>
    <w:autoRedefine/>
    <w:uiPriority w:val="39"/>
    <w:rsid w:val="002E7148"/>
    <w:pPr>
      <w:spacing w:after="100"/>
      <w:ind w:left="480"/>
    </w:pPr>
  </w:style>
  <w:style w:type="character" w:styleId="BookTitle">
    <w:name w:val="Book Title"/>
    <w:uiPriority w:val="33"/>
    <w:qFormat/>
    <w:rsid w:val="002E7148"/>
    <w:rPr>
      <w:b/>
      <w:bCs/>
      <w:i/>
      <w:iCs/>
      <w:spacing w:val="9"/>
    </w:rPr>
  </w:style>
  <w:style w:type="character" w:styleId="Emphasis">
    <w:name w:val="Emphasis"/>
    <w:uiPriority w:val="20"/>
    <w:qFormat/>
    <w:rsid w:val="002E7148"/>
    <w:rPr>
      <w:caps/>
      <w:color w:val="243F60"/>
      <w:spacing w:val="5"/>
    </w:rPr>
  </w:style>
  <w:style w:type="character" w:customStyle="1" w:styleId="Heading2Char">
    <w:name w:val="Heading 2 Char"/>
    <w:aliases w:val="Level 2 Heading Char"/>
    <w:link w:val="Heading2"/>
    <w:uiPriority w:val="9"/>
    <w:rsid w:val="002F43A8"/>
    <w:rPr>
      <w:rFonts w:eastAsia="MS Mincho"/>
      <w:b/>
      <w:bCs/>
      <w:spacing w:val="15"/>
      <w:sz w:val="22"/>
      <w:szCs w:val="24"/>
    </w:rPr>
  </w:style>
  <w:style w:type="character" w:styleId="IntenseEmphasis">
    <w:name w:val="Intense Emphasis"/>
    <w:uiPriority w:val="21"/>
    <w:qFormat/>
    <w:rsid w:val="002E7148"/>
    <w:rPr>
      <w:b/>
      <w:bCs/>
      <w:caps/>
      <w:color w:val="243F60"/>
      <w:spacing w:val="10"/>
    </w:rPr>
  </w:style>
  <w:style w:type="paragraph" w:styleId="IntenseQuote">
    <w:name w:val="Intense Quote"/>
    <w:basedOn w:val="Normal"/>
    <w:next w:val="Normal"/>
    <w:link w:val="IntenseQuoteChar"/>
    <w:uiPriority w:val="30"/>
    <w:qFormat/>
    <w:rsid w:val="002E7148"/>
    <w:pPr>
      <w:pBdr>
        <w:top w:val="single" w:sz="4" w:space="10" w:color="4F81BD"/>
        <w:left w:val="single" w:sz="4" w:space="10" w:color="4F81BD"/>
      </w:pBdr>
      <w:ind w:left="1296" w:right="1152"/>
      <w:jc w:val="both"/>
    </w:pPr>
    <w:rPr>
      <w:i/>
      <w:iCs/>
      <w:color w:val="4F81BD"/>
    </w:rPr>
  </w:style>
  <w:style w:type="character" w:customStyle="1" w:styleId="IntenseQuoteChar">
    <w:name w:val="Intense Quote Char"/>
    <w:link w:val="IntenseQuote"/>
    <w:uiPriority w:val="30"/>
    <w:rsid w:val="002E7148"/>
    <w:rPr>
      <w:rFonts w:ascii="Calibri" w:eastAsia="MS Mincho" w:hAnsi="Calibri" w:cs="Times New Roman"/>
      <w:i/>
      <w:iCs/>
      <w:color w:val="4F81BD"/>
      <w:sz w:val="22"/>
    </w:rPr>
  </w:style>
  <w:style w:type="character" w:styleId="IntenseReference">
    <w:name w:val="Intense Reference"/>
    <w:uiPriority w:val="32"/>
    <w:qFormat/>
    <w:rsid w:val="002E7148"/>
    <w:rPr>
      <w:b/>
      <w:bCs/>
      <w:i/>
      <w:iCs/>
      <w:caps/>
      <w:color w:val="4F81BD"/>
    </w:rPr>
  </w:style>
  <w:style w:type="paragraph" w:styleId="NoSpacing">
    <w:name w:val="No Spacing"/>
    <w:basedOn w:val="Normal"/>
    <w:link w:val="NoSpacingChar"/>
    <w:uiPriority w:val="1"/>
    <w:qFormat/>
    <w:rsid w:val="002E7148"/>
  </w:style>
  <w:style w:type="character" w:customStyle="1" w:styleId="NoSpacingChar">
    <w:name w:val="No Spacing Char"/>
    <w:link w:val="NoSpacing"/>
    <w:uiPriority w:val="1"/>
    <w:rsid w:val="002E7148"/>
    <w:rPr>
      <w:rFonts w:ascii="Calibri" w:eastAsia="MS Mincho" w:hAnsi="Calibri" w:cs="Times New Roman"/>
      <w:sz w:val="22"/>
    </w:rPr>
  </w:style>
  <w:style w:type="paragraph" w:styleId="Quote">
    <w:name w:val="Quote"/>
    <w:basedOn w:val="Normal"/>
    <w:next w:val="Normal"/>
    <w:link w:val="QuoteChar"/>
    <w:uiPriority w:val="29"/>
    <w:qFormat/>
    <w:rsid w:val="002E7148"/>
    <w:rPr>
      <w:i/>
      <w:iCs/>
    </w:rPr>
  </w:style>
  <w:style w:type="character" w:customStyle="1" w:styleId="QuoteChar">
    <w:name w:val="Quote Char"/>
    <w:link w:val="Quote"/>
    <w:uiPriority w:val="29"/>
    <w:rsid w:val="002E7148"/>
    <w:rPr>
      <w:rFonts w:ascii="Calibri" w:eastAsia="MS Mincho" w:hAnsi="Calibri" w:cs="Times New Roman"/>
      <w:i/>
      <w:iCs/>
      <w:sz w:val="22"/>
    </w:rPr>
  </w:style>
  <w:style w:type="character" w:styleId="Strong">
    <w:name w:val="Strong"/>
    <w:uiPriority w:val="22"/>
    <w:qFormat/>
    <w:rsid w:val="002E7148"/>
    <w:rPr>
      <w:b/>
      <w:bCs/>
    </w:rPr>
  </w:style>
  <w:style w:type="character" w:styleId="SubtleEmphasis">
    <w:name w:val="Subtle Emphasis"/>
    <w:uiPriority w:val="19"/>
    <w:qFormat/>
    <w:rsid w:val="002E7148"/>
    <w:rPr>
      <w:i/>
      <w:iCs/>
      <w:color w:val="243F60"/>
    </w:rPr>
  </w:style>
  <w:style w:type="character" w:styleId="SubtleReference">
    <w:name w:val="Subtle Reference"/>
    <w:uiPriority w:val="31"/>
    <w:qFormat/>
    <w:rsid w:val="002E7148"/>
    <w:rPr>
      <w:b/>
      <w:bCs/>
      <w:color w:val="4F81BD"/>
    </w:rPr>
  </w:style>
  <w:style w:type="paragraph" w:customStyle="1" w:styleId="Item">
    <w:name w:val="Item"/>
    <w:basedOn w:val="Normal"/>
    <w:rsid w:val="00CB7B44"/>
    <w:pPr>
      <w:numPr>
        <w:numId w:val="2"/>
      </w:numPr>
    </w:pPr>
    <w:rPr>
      <w:rFonts w:ascii="Arial" w:eastAsia="Times New Roman" w:hAnsi="Arial"/>
      <w:b/>
    </w:rPr>
  </w:style>
  <w:style w:type="character" w:styleId="CommentReference">
    <w:name w:val="annotation reference"/>
    <w:semiHidden/>
    <w:unhideWhenUsed/>
    <w:rsid w:val="00E97418"/>
    <w:rPr>
      <w:sz w:val="16"/>
      <w:szCs w:val="16"/>
    </w:rPr>
  </w:style>
  <w:style w:type="paragraph" w:styleId="CommentText">
    <w:name w:val="annotation text"/>
    <w:basedOn w:val="Normal"/>
    <w:link w:val="CommentTextChar"/>
    <w:unhideWhenUsed/>
    <w:rsid w:val="00E97418"/>
    <w:rPr>
      <w:sz w:val="20"/>
    </w:rPr>
  </w:style>
  <w:style w:type="character" w:customStyle="1" w:styleId="CommentTextChar">
    <w:name w:val="Comment Text Char"/>
    <w:link w:val="CommentText"/>
    <w:rsid w:val="00E97418"/>
    <w:rPr>
      <w:rFonts w:ascii="Calibri" w:eastAsia="MS Mincho" w:hAnsi="Calibri" w:cs="Times New Roman"/>
    </w:rPr>
  </w:style>
  <w:style w:type="paragraph" w:styleId="CommentSubject">
    <w:name w:val="annotation subject"/>
    <w:basedOn w:val="CommentText"/>
    <w:next w:val="CommentText"/>
    <w:link w:val="CommentSubjectChar"/>
    <w:semiHidden/>
    <w:unhideWhenUsed/>
    <w:rsid w:val="00E97418"/>
    <w:rPr>
      <w:b/>
      <w:bCs/>
    </w:rPr>
  </w:style>
  <w:style w:type="character" w:customStyle="1" w:styleId="CommentSubjectChar">
    <w:name w:val="Comment Subject Char"/>
    <w:link w:val="CommentSubject"/>
    <w:semiHidden/>
    <w:rsid w:val="00E97418"/>
    <w:rPr>
      <w:rFonts w:ascii="Calibri" w:eastAsia="MS Mincho" w:hAnsi="Calibri" w:cs="Times New Roman"/>
      <w:b/>
      <w:bCs/>
    </w:rPr>
  </w:style>
  <w:style w:type="paragraph" w:styleId="Revision">
    <w:name w:val="Revision"/>
    <w:hidden/>
    <w:uiPriority w:val="71"/>
    <w:semiHidden/>
    <w:rsid w:val="00B4571B"/>
    <w:rPr>
      <w:rFonts w:ascii="Calibri" w:eastAsia="MS Mincho"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3136">
      <w:bodyDiv w:val="1"/>
      <w:marLeft w:val="0"/>
      <w:marRight w:val="0"/>
      <w:marTop w:val="0"/>
      <w:marBottom w:val="0"/>
      <w:divBdr>
        <w:top w:val="none" w:sz="0" w:space="0" w:color="auto"/>
        <w:left w:val="none" w:sz="0" w:space="0" w:color="auto"/>
        <w:bottom w:val="none" w:sz="0" w:space="0" w:color="auto"/>
        <w:right w:val="none" w:sz="0" w:space="0" w:color="auto"/>
      </w:divBdr>
    </w:div>
    <w:div w:id="119879762">
      <w:bodyDiv w:val="1"/>
      <w:marLeft w:val="0"/>
      <w:marRight w:val="0"/>
      <w:marTop w:val="0"/>
      <w:marBottom w:val="0"/>
      <w:divBdr>
        <w:top w:val="none" w:sz="0" w:space="0" w:color="auto"/>
        <w:left w:val="none" w:sz="0" w:space="0" w:color="auto"/>
        <w:bottom w:val="none" w:sz="0" w:space="0" w:color="auto"/>
        <w:right w:val="none" w:sz="0" w:space="0" w:color="auto"/>
      </w:divBdr>
    </w:div>
    <w:div w:id="332492381">
      <w:bodyDiv w:val="1"/>
      <w:marLeft w:val="0"/>
      <w:marRight w:val="0"/>
      <w:marTop w:val="0"/>
      <w:marBottom w:val="0"/>
      <w:divBdr>
        <w:top w:val="none" w:sz="0" w:space="0" w:color="auto"/>
        <w:left w:val="none" w:sz="0" w:space="0" w:color="auto"/>
        <w:bottom w:val="none" w:sz="0" w:space="0" w:color="auto"/>
        <w:right w:val="none" w:sz="0" w:space="0" w:color="auto"/>
      </w:divBdr>
    </w:div>
    <w:div w:id="373313611">
      <w:bodyDiv w:val="1"/>
      <w:marLeft w:val="0"/>
      <w:marRight w:val="0"/>
      <w:marTop w:val="0"/>
      <w:marBottom w:val="0"/>
      <w:divBdr>
        <w:top w:val="none" w:sz="0" w:space="0" w:color="auto"/>
        <w:left w:val="none" w:sz="0" w:space="0" w:color="auto"/>
        <w:bottom w:val="none" w:sz="0" w:space="0" w:color="auto"/>
        <w:right w:val="none" w:sz="0" w:space="0" w:color="auto"/>
      </w:divBdr>
    </w:div>
    <w:div w:id="419176772">
      <w:bodyDiv w:val="1"/>
      <w:marLeft w:val="0"/>
      <w:marRight w:val="0"/>
      <w:marTop w:val="0"/>
      <w:marBottom w:val="0"/>
      <w:divBdr>
        <w:top w:val="none" w:sz="0" w:space="0" w:color="auto"/>
        <w:left w:val="none" w:sz="0" w:space="0" w:color="auto"/>
        <w:bottom w:val="none" w:sz="0" w:space="0" w:color="auto"/>
        <w:right w:val="none" w:sz="0" w:space="0" w:color="auto"/>
      </w:divBdr>
    </w:div>
    <w:div w:id="537468872">
      <w:bodyDiv w:val="1"/>
      <w:marLeft w:val="0"/>
      <w:marRight w:val="0"/>
      <w:marTop w:val="0"/>
      <w:marBottom w:val="0"/>
      <w:divBdr>
        <w:top w:val="none" w:sz="0" w:space="0" w:color="auto"/>
        <w:left w:val="none" w:sz="0" w:space="0" w:color="auto"/>
        <w:bottom w:val="none" w:sz="0" w:space="0" w:color="auto"/>
        <w:right w:val="none" w:sz="0" w:space="0" w:color="auto"/>
      </w:divBdr>
    </w:div>
    <w:div w:id="539560206">
      <w:bodyDiv w:val="1"/>
      <w:marLeft w:val="0"/>
      <w:marRight w:val="0"/>
      <w:marTop w:val="0"/>
      <w:marBottom w:val="0"/>
      <w:divBdr>
        <w:top w:val="none" w:sz="0" w:space="0" w:color="auto"/>
        <w:left w:val="none" w:sz="0" w:space="0" w:color="auto"/>
        <w:bottom w:val="none" w:sz="0" w:space="0" w:color="auto"/>
        <w:right w:val="none" w:sz="0" w:space="0" w:color="auto"/>
      </w:divBdr>
    </w:div>
    <w:div w:id="539710371">
      <w:bodyDiv w:val="1"/>
      <w:marLeft w:val="0"/>
      <w:marRight w:val="0"/>
      <w:marTop w:val="0"/>
      <w:marBottom w:val="0"/>
      <w:divBdr>
        <w:top w:val="none" w:sz="0" w:space="0" w:color="auto"/>
        <w:left w:val="none" w:sz="0" w:space="0" w:color="auto"/>
        <w:bottom w:val="none" w:sz="0" w:space="0" w:color="auto"/>
        <w:right w:val="none" w:sz="0" w:space="0" w:color="auto"/>
      </w:divBdr>
    </w:div>
    <w:div w:id="657659903">
      <w:bodyDiv w:val="1"/>
      <w:marLeft w:val="0"/>
      <w:marRight w:val="0"/>
      <w:marTop w:val="0"/>
      <w:marBottom w:val="0"/>
      <w:divBdr>
        <w:top w:val="none" w:sz="0" w:space="0" w:color="auto"/>
        <w:left w:val="none" w:sz="0" w:space="0" w:color="auto"/>
        <w:bottom w:val="none" w:sz="0" w:space="0" w:color="auto"/>
        <w:right w:val="none" w:sz="0" w:space="0" w:color="auto"/>
      </w:divBdr>
    </w:div>
    <w:div w:id="673579771">
      <w:bodyDiv w:val="1"/>
      <w:marLeft w:val="0"/>
      <w:marRight w:val="0"/>
      <w:marTop w:val="0"/>
      <w:marBottom w:val="0"/>
      <w:divBdr>
        <w:top w:val="none" w:sz="0" w:space="0" w:color="auto"/>
        <w:left w:val="none" w:sz="0" w:space="0" w:color="auto"/>
        <w:bottom w:val="none" w:sz="0" w:space="0" w:color="auto"/>
        <w:right w:val="none" w:sz="0" w:space="0" w:color="auto"/>
      </w:divBdr>
    </w:div>
    <w:div w:id="823351096">
      <w:bodyDiv w:val="1"/>
      <w:marLeft w:val="0"/>
      <w:marRight w:val="0"/>
      <w:marTop w:val="0"/>
      <w:marBottom w:val="0"/>
      <w:divBdr>
        <w:top w:val="none" w:sz="0" w:space="0" w:color="auto"/>
        <w:left w:val="none" w:sz="0" w:space="0" w:color="auto"/>
        <w:bottom w:val="none" w:sz="0" w:space="0" w:color="auto"/>
        <w:right w:val="none" w:sz="0" w:space="0" w:color="auto"/>
      </w:divBdr>
    </w:div>
    <w:div w:id="856456954">
      <w:bodyDiv w:val="1"/>
      <w:marLeft w:val="0"/>
      <w:marRight w:val="0"/>
      <w:marTop w:val="0"/>
      <w:marBottom w:val="0"/>
      <w:divBdr>
        <w:top w:val="none" w:sz="0" w:space="0" w:color="auto"/>
        <w:left w:val="none" w:sz="0" w:space="0" w:color="auto"/>
        <w:bottom w:val="none" w:sz="0" w:space="0" w:color="auto"/>
        <w:right w:val="none" w:sz="0" w:space="0" w:color="auto"/>
      </w:divBdr>
    </w:div>
    <w:div w:id="1066100624">
      <w:bodyDiv w:val="1"/>
      <w:marLeft w:val="0"/>
      <w:marRight w:val="0"/>
      <w:marTop w:val="0"/>
      <w:marBottom w:val="0"/>
      <w:divBdr>
        <w:top w:val="none" w:sz="0" w:space="0" w:color="auto"/>
        <w:left w:val="none" w:sz="0" w:space="0" w:color="auto"/>
        <w:bottom w:val="none" w:sz="0" w:space="0" w:color="auto"/>
        <w:right w:val="none" w:sz="0" w:space="0" w:color="auto"/>
      </w:divBdr>
    </w:div>
    <w:div w:id="1207334872">
      <w:bodyDiv w:val="1"/>
      <w:marLeft w:val="0"/>
      <w:marRight w:val="0"/>
      <w:marTop w:val="0"/>
      <w:marBottom w:val="0"/>
      <w:divBdr>
        <w:top w:val="none" w:sz="0" w:space="0" w:color="auto"/>
        <w:left w:val="none" w:sz="0" w:space="0" w:color="auto"/>
        <w:bottom w:val="none" w:sz="0" w:space="0" w:color="auto"/>
        <w:right w:val="none" w:sz="0" w:space="0" w:color="auto"/>
      </w:divBdr>
    </w:div>
    <w:div w:id="1210804879">
      <w:bodyDiv w:val="1"/>
      <w:marLeft w:val="0"/>
      <w:marRight w:val="0"/>
      <w:marTop w:val="0"/>
      <w:marBottom w:val="0"/>
      <w:divBdr>
        <w:top w:val="none" w:sz="0" w:space="0" w:color="auto"/>
        <w:left w:val="none" w:sz="0" w:space="0" w:color="auto"/>
        <w:bottom w:val="none" w:sz="0" w:space="0" w:color="auto"/>
        <w:right w:val="none" w:sz="0" w:space="0" w:color="auto"/>
      </w:divBdr>
    </w:div>
    <w:div w:id="1395663052">
      <w:bodyDiv w:val="1"/>
      <w:marLeft w:val="0"/>
      <w:marRight w:val="0"/>
      <w:marTop w:val="0"/>
      <w:marBottom w:val="0"/>
      <w:divBdr>
        <w:top w:val="none" w:sz="0" w:space="0" w:color="auto"/>
        <w:left w:val="none" w:sz="0" w:space="0" w:color="auto"/>
        <w:bottom w:val="none" w:sz="0" w:space="0" w:color="auto"/>
        <w:right w:val="none" w:sz="0" w:space="0" w:color="auto"/>
      </w:divBdr>
    </w:div>
    <w:div w:id="1503164477">
      <w:bodyDiv w:val="1"/>
      <w:marLeft w:val="0"/>
      <w:marRight w:val="0"/>
      <w:marTop w:val="0"/>
      <w:marBottom w:val="0"/>
      <w:divBdr>
        <w:top w:val="none" w:sz="0" w:space="0" w:color="auto"/>
        <w:left w:val="none" w:sz="0" w:space="0" w:color="auto"/>
        <w:bottom w:val="none" w:sz="0" w:space="0" w:color="auto"/>
        <w:right w:val="none" w:sz="0" w:space="0" w:color="auto"/>
      </w:divBdr>
    </w:div>
    <w:div w:id="1594629333">
      <w:bodyDiv w:val="1"/>
      <w:marLeft w:val="0"/>
      <w:marRight w:val="0"/>
      <w:marTop w:val="0"/>
      <w:marBottom w:val="0"/>
      <w:divBdr>
        <w:top w:val="none" w:sz="0" w:space="0" w:color="auto"/>
        <w:left w:val="none" w:sz="0" w:space="0" w:color="auto"/>
        <w:bottom w:val="none" w:sz="0" w:space="0" w:color="auto"/>
        <w:right w:val="none" w:sz="0" w:space="0" w:color="auto"/>
      </w:divBdr>
    </w:div>
    <w:div w:id="1599944404">
      <w:bodyDiv w:val="1"/>
      <w:marLeft w:val="0"/>
      <w:marRight w:val="0"/>
      <w:marTop w:val="0"/>
      <w:marBottom w:val="0"/>
      <w:divBdr>
        <w:top w:val="none" w:sz="0" w:space="0" w:color="auto"/>
        <w:left w:val="none" w:sz="0" w:space="0" w:color="auto"/>
        <w:bottom w:val="none" w:sz="0" w:space="0" w:color="auto"/>
        <w:right w:val="none" w:sz="0" w:space="0" w:color="auto"/>
      </w:divBdr>
    </w:div>
    <w:div w:id="1684431633">
      <w:bodyDiv w:val="1"/>
      <w:marLeft w:val="0"/>
      <w:marRight w:val="0"/>
      <w:marTop w:val="0"/>
      <w:marBottom w:val="0"/>
      <w:divBdr>
        <w:top w:val="none" w:sz="0" w:space="0" w:color="auto"/>
        <w:left w:val="none" w:sz="0" w:space="0" w:color="auto"/>
        <w:bottom w:val="none" w:sz="0" w:space="0" w:color="auto"/>
        <w:right w:val="none" w:sz="0" w:space="0" w:color="auto"/>
      </w:divBdr>
    </w:div>
    <w:div w:id="1809391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t.state.mn.us/research/finalrepor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F392A3CA10AA40839118F02820F116" ma:contentTypeVersion="13" ma:contentTypeDescription="Create a new document." ma:contentTypeScope="" ma:versionID="2403ebcd45a79e68f55bac03cdd6a166">
  <xsd:schema xmlns:xsd="http://www.w3.org/2001/XMLSchema" xmlns:xs="http://www.w3.org/2001/XMLSchema" xmlns:p="http://schemas.microsoft.com/office/2006/metadata/properties" xmlns:ns3="2c397928-cb74-4926-b8af-ece9ebe66d13" xmlns:ns4="8056c616-a024-494f-9cfe-f2b89aced9b1" targetNamespace="http://schemas.microsoft.com/office/2006/metadata/properties" ma:root="true" ma:fieldsID="0eb856ce261a524061d026cd628b2f70" ns3:_="" ns4:_="">
    <xsd:import namespace="2c397928-cb74-4926-b8af-ece9ebe66d13"/>
    <xsd:import namespace="8056c616-a024-494f-9cfe-f2b89aced9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97928-cb74-4926-b8af-ece9ebe66d1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6c616-a024-494f-9cfe-f2b89aced9b1"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DF776-ECF2-4FA0-BA2F-EF92F0C43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397928-cb74-4926-b8af-ece9ebe66d13"/>
    <ds:schemaRef ds:uri="8056c616-a024-494f-9cfe-f2b89aced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97198C-3390-46C4-9F9B-6934498AD126}">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8056c616-a024-494f-9cfe-f2b89aced9b1"/>
    <ds:schemaRef ds:uri="2c397928-cb74-4926-b8af-ece9ebe66d13"/>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A4CAA19-1B2D-416D-A39D-CA5DB224124E}">
  <ds:schemaRefs>
    <ds:schemaRef ds:uri="http://schemas.microsoft.com/sharepoint/v3/contenttype/forms"/>
  </ds:schemaRefs>
</ds:datastoreItem>
</file>

<file path=customXml/itemProps4.xml><?xml version="1.0" encoding="utf-8"?>
<ds:datastoreItem xmlns:ds="http://schemas.openxmlformats.org/officeDocument/2006/customXml" ds:itemID="{B27BBB03-4B6F-429F-AC7F-C90CC431A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4071</Words>
  <Characters>25257</Characters>
  <Application>Microsoft Office Word</Application>
  <DocSecurity>0</DocSecurity>
  <Lines>210</Lines>
  <Paragraphs>58</Paragraphs>
  <ScaleCrop>false</ScaleCrop>
  <HeadingPairs>
    <vt:vector size="2" baseType="variant">
      <vt:variant>
        <vt:lpstr>Title</vt:lpstr>
      </vt:variant>
      <vt:variant>
        <vt:i4>1</vt:i4>
      </vt:variant>
    </vt:vector>
  </HeadingPairs>
  <TitlesOfParts>
    <vt:vector size="1" baseType="lpstr">
      <vt:lpstr>_</vt:lpstr>
    </vt:vector>
  </TitlesOfParts>
  <Company>MnDOT</Company>
  <LinksUpToDate>false</LinksUpToDate>
  <CharactersWithSpaces>29270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Elizabeth C Andrews</dc:creator>
  <cp:keywords/>
  <dc:description/>
  <cp:lastModifiedBy>Lederle, Rita E.</cp:lastModifiedBy>
  <cp:revision>35</cp:revision>
  <cp:lastPrinted>2019-07-23T14:04:00Z</cp:lastPrinted>
  <dcterms:created xsi:type="dcterms:W3CDTF">2020-03-26T13:05:00Z</dcterms:created>
  <dcterms:modified xsi:type="dcterms:W3CDTF">2020-03-26T13:42:00Z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0x010100D8F392A3CA10AA40839118F02820F116</vt:lpwstr>
  </property>
  <property fmtid="{D5CDD505-2E9C-101B-9397-08002B2CF9AE}" pid="3" name="WnCUserId">
    <vt:lpwstr>user:5bdc8754e4b0a1f99c637f1f</vt:lpwstr>
  </property>
  <property fmtid="{D5CDD505-2E9C-101B-9397-08002B2CF9AE}" pid="4" name="WnCSubscriberId">
    <vt:lpwstr>0</vt:lpwstr>
  </property>
  <property fmtid="{D5CDD505-2E9C-101B-9397-08002B2CF9AE}" pid="5" name="WnCOutputStyleId">
    <vt:lpwstr>rwuserstyle:5cdc3258164b4f07b248f051</vt:lpwstr>
  </property>
  <property fmtid="{D5CDD505-2E9C-101B-9397-08002B2CF9AE}" pid="6" name="RWProductId">
    <vt:lpwstr>Flow</vt:lpwstr>
  </property>
  <property fmtid="{D5CDD505-2E9C-101B-9397-08002B2CF9AE}" pid="7" name="WnC4Folder">
    <vt:lpwstr>Documents///Work Plan (3-5-2020) Call for Innovation Recycled Concrete Aggregate Rep.._ (002)</vt:lpwstr>
  </property>
</Properties>
</file>