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36B" w:rsidRDefault="00DD55C7" w:rsidP="00DA6D87">
      <w:pPr>
        <w:jc w:val="both"/>
      </w:pPr>
      <w:r>
        <w:rPr>
          <w:noProof/>
        </w:rPr>
        <w:drawing>
          <wp:anchor distT="0" distB="0" distL="114300" distR="114300" simplePos="0" relativeHeight="251654656" behindDoc="1" locked="0" layoutInCell="1" allowOverlap="1">
            <wp:simplePos x="0" y="0"/>
            <wp:positionH relativeFrom="column">
              <wp:posOffset>-201930</wp:posOffset>
            </wp:positionH>
            <wp:positionV relativeFrom="paragraph">
              <wp:posOffset>-342900</wp:posOffset>
            </wp:positionV>
            <wp:extent cx="6574874" cy="685800"/>
            <wp:effectExtent l="0" t="0" r="0" b="0"/>
            <wp:wrapNone/>
            <wp:docPr id="3" name="Picture 14" descr="30453 MnRoad_header_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0453 MnRoad_header_0629"/>
                    <pic:cNvPicPr>
                      <a:picLocks noChangeAspect="1" noChangeArrowheads="1"/>
                    </pic:cNvPicPr>
                  </pic:nvPicPr>
                  <pic:blipFill>
                    <a:blip r:embed="rId9" cstate="print"/>
                    <a:srcRect/>
                    <a:stretch>
                      <a:fillRect/>
                    </a:stretch>
                  </pic:blipFill>
                  <pic:spPr bwMode="auto">
                    <a:xfrm>
                      <a:off x="0" y="0"/>
                      <a:ext cx="6609062" cy="689366"/>
                    </a:xfrm>
                    <a:prstGeom prst="rect">
                      <a:avLst/>
                    </a:prstGeom>
                    <a:noFill/>
                  </pic:spPr>
                </pic:pic>
              </a:graphicData>
            </a:graphic>
            <wp14:sizeRelH relativeFrom="margin">
              <wp14:pctWidth>0</wp14:pctWidth>
            </wp14:sizeRelH>
            <wp14:sizeRelV relativeFrom="margin">
              <wp14:pctHeight>0</wp14:pctHeight>
            </wp14:sizeRelV>
          </wp:anchor>
        </w:drawing>
      </w:r>
      <w:r w:rsidR="00D15143">
        <w:rPr>
          <w:rFonts w:ascii="Arial Narrow" w:hAnsi="Arial Narrow"/>
          <w:b/>
          <w:color w:val="387FC9"/>
        </w:rPr>
        <w:t xml:space="preserve"> </w:t>
      </w:r>
    </w:p>
    <w:p w:rsidR="002C336B" w:rsidRDefault="0086071F" w:rsidP="00DA6D87">
      <w:pPr>
        <w:jc w:val="both"/>
      </w:pPr>
      <w:r>
        <w:rPr>
          <w:rFonts w:ascii="Cambria" w:hAnsi="Cambria" w:cs="Arial"/>
          <w:b/>
          <w:noProof/>
          <w:sz w:val="36"/>
          <w:szCs w:val="36"/>
        </w:rPr>
        <mc:AlternateContent>
          <mc:Choice Requires="wps">
            <w:drawing>
              <wp:anchor distT="0" distB="0" distL="114300" distR="114300" simplePos="0" relativeHeight="251655680" behindDoc="0" locked="0" layoutInCell="1" allowOverlap="1" wp14:anchorId="7C063C42" wp14:editId="1642A2C5">
                <wp:simplePos x="0" y="0"/>
                <wp:positionH relativeFrom="column">
                  <wp:posOffset>5495925</wp:posOffset>
                </wp:positionH>
                <wp:positionV relativeFrom="paragraph">
                  <wp:posOffset>81915</wp:posOffset>
                </wp:positionV>
                <wp:extent cx="1009650" cy="295910"/>
                <wp:effectExtent l="0" t="0" r="0" b="0"/>
                <wp:wrapNone/>
                <wp:docPr id="8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C5" w:rsidRPr="001E7F9C" w:rsidRDefault="00EA49ED">
                            <w:pPr>
                              <w:rPr>
                                <w:rFonts w:ascii="Calibri" w:hAnsi="Calibri"/>
                                <w:color w:val="387FC9"/>
                                <w:sz w:val="18"/>
                                <w:szCs w:val="18"/>
                              </w:rPr>
                            </w:pPr>
                            <w:r>
                              <w:rPr>
                                <w:rFonts w:ascii="Calibri" w:hAnsi="Calibri"/>
                                <w:color w:val="387FC9"/>
                                <w:sz w:val="18"/>
                                <w:szCs w:val="18"/>
                              </w:rPr>
                              <w:t>August</w:t>
                            </w:r>
                            <w:r w:rsidR="00A437AD">
                              <w:rPr>
                                <w:rFonts w:ascii="Calibri" w:hAnsi="Calibri"/>
                                <w:color w:val="387FC9"/>
                                <w:sz w:val="18"/>
                                <w:szCs w:val="18"/>
                              </w:rPr>
                              <w:t xml:space="preserve">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32.75pt;margin-top:6.45pt;width:79.5pt;height:2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eEtwIAALw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" filled="f" stroked="f">
                <v:textbox>
                  <w:txbxContent>
                    <w:p w:rsidR="009371C5" w:rsidRPr="001E7F9C" w:rsidRDefault="00EA49ED">
                      <w:pPr>
                        <w:rPr>
                          <w:rFonts w:ascii="Calibri" w:hAnsi="Calibri"/>
                          <w:color w:val="387FC9"/>
                          <w:sz w:val="18"/>
                          <w:szCs w:val="18"/>
                        </w:rPr>
                      </w:pPr>
                      <w:r>
                        <w:rPr>
                          <w:rFonts w:ascii="Calibri" w:hAnsi="Calibri"/>
                          <w:color w:val="387FC9"/>
                          <w:sz w:val="18"/>
                          <w:szCs w:val="18"/>
                        </w:rPr>
                        <w:t>August</w:t>
                      </w:r>
                      <w:r w:rsidR="00A437AD">
                        <w:rPr>
                          <w:rFonts w:ascii="Calibri" w:hAnsi="Calibri"/>
                          <w:color w:val="387FC9"/>
                          <w:sz w:val="18"/>
                          <w:szCs w:val="18"/>
                        </w:rPr>
                        <w:t xml:space="preserve"> 2014</w:t>
                      </w:r>
                    </w:p>
                  </w:txbxContent>
                </v:textbox>
              </v:shape>
            </w:pict>
          </mc:Fallback>
        </mc:AlternateContent>
      </w:r>
    </w:p>
    <w:p w:rsidR="00A708B4" w:rsidRDefault="00F34DFE" w:rsidP="00DA6D87">
      <w:pPr>
        <w:ind w:left="270" w:hanging="270"/>
        <w:jc w:val="both"/>
        <w:rPr>
          <w:rFonts w:ascii="Cambria" w:hAnsi="Cambria" w:cs="Arial"/>
          <w:b/>
          <w:sz w:val="32"/>
          <w:szCs w:val="32"/>
        </w:rPr>
      </w:pPr>
      <w:r>
        <w:rPr>
          <w:rFonts w:ascii="Cambria" w:hAnsi="Cambria" w:cs="Arial"/>
          <w:b/>
          <w:sz w:val="32"/>
          <w:szCs w:val="32"/>
        </w:rPr>
        <w:t>INTRODUCTION</w:t>
      </w:r>
    </w:p>
    <w:tbl>
      <w:tblPr>
        <w:tblStyle w:val="TableGrid"/>
        <w:tblpPr w:leftFromText="180" w:rightFromText="180" w:vertAnchor="text" w:horzAnchor="margin" w:tblpXSpec="center" w:tblpY="-54"/>
        <w:tblW w:w="95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288"/>
        <w:gridCol w:w="270"/>
      </w:tblGrid>
      <w:tr w:rsidR="00A708B4" w:rsidRPr="0058063B" w:rsidTr="00EA49ED">
        <w:trPr>
          <w:trHeight w:val="1150"/>
        </w:trPr>
        <w:tc>
          <w:tcPr>
            <w:tcW w:w="9288" w:type="dxa"/>
            <w:tcBorders>
              <w:top w:val="nil"/>
              <w:left w:val="nil"/>
              <w:bottom w:val="double" w:sz="4" w:space="0" w:color="auto"/>
              <w:right w:val="nil"/>
            </w:tcBorders>
          </w:tcPr>
          <w:p w:rsidR="00A708B4" w:rsidRPr="0058063B" w:rsidRDefault="00A16E54" w:rsidP="00DA6D87">
            <w:pPr>
              <w:jc w:val="both"/>
              <w:rPr>
                <w:b/>
                <w:bCs/>
                <w:sz w:val="36"/>
                <w:szCs w:val="36"/>
              </w:rPr>
            </w:pPr>
            <w:r>
              <w:rPr>
                <w:b/>
                <w:smallCaps/>
                <w:noProof/>
                <w:sz w:val="36"/>
                <w:szCs w:val="36"/>
              </w:rPr>
              <w:t>MONITORING OF PERVIOUS CONCRETE STREETS IN CITY OF SHOREVIEW</w:t>
            </w:r>
            <w:r w:rsidR="00EA49ED">
              <w:rPr>
                <w:b/>
                <w:smallCaps/>
                <w:noProof/>
                <w:sz w:val="36"/>
                <w:szCs w:val="36"/>
              </w:rPr>
              <w:t xml:space="preserve">. </w:t>
            </w:r>
            <w:r w:rsidR="005F766B">
              <w:rPr>
                <w:b/>
                <w:smallCaps/>
                <w:noProof/>
                <w:sz w:val="36"/>
                <w:szCs w:val="36"/>
              </w:rPr>
              <w:t>(</w:t>
            </w:r>
            <w:r w:rsidR="00EA49ED">
              <w:rPr>
                <w:b/>
                <w:smallCaps/>
                <w:noProof/>
                <w:sz w:val="36"/>
                <w:szCs w:val="36"/>
              </w:rPr>
              <w:t>5-YEAR REPORT</w:t>
            </w:r>
            <w:r w:rsidR="005F766B">
              <w:rPr>
                <w:b/>
                <w:smallCaps/>
                <w:noProof/>
                <w:sz w:val="36"/>
                <w:szCs w:val="36"/>
              </w:rPr>
              <w:t>)</w:t>
            </w:r>
          </w:p>
        </w:tc>
        <w:tc>
          <w:tcPr>
            <w:tcW w:w="270" w:type="dxa"/>
            <w:tcBorders>
              <w:top w:val="nil"/>
              <w:left w:val="nil"/>
              <w:bottom w:val="double" w:sz="4" w:space="0" w:color="auto"/>
              <w:right w:val="nil"/>
            </w:tcBorders>
          </w:tcPr>
          <w:p w:rsidR="00A708B4" w:rsidRPr="0058063B" w:rsidRDefault="00A708B4" w:rsidP="00DA6D87">
            <w:pPr>
              <w:jc w:val="both"/>
              <w:rPr>
                <w:b/>
                <w:bCs/>
                <w:smallCaps/>
                <w:sz w:val="36"/>
                <w:szCs w:val="36"/>
              </w:rPr>
            </w:pPr>
          </w:p>
        </w:tc>
      </w:tr>
    </w:tbl>
    <w:p w:rsidR="00B0415C" w:rsidRDefault="00745921" w:rsidP="00DA6D87">
      <w:pPr>
        <w:contextualSpacing/>
        <w:jc w:val="both"/>
      </w:pPr>
      <w:r w:rsidRPr="00454570">
        <w:t xml:space="preserve">Storm-water runoff from the </w:t>
      </w:r>
      <w:r w:rsidR="001309E7">
        <w:t>Woodbridge neighborhood of the C</w:t>
      </w:r>
      <w:r w:rsidRPr="00454570">
        <w:t xml:space="preserve">ity of Shoreview had previously been </w:t>
      </w:r>
      <w:r w:rsidR="001309E7">
        <w:t>managed through culverts and other hydraulic structures</w:t>
      </w:r>
      <w:r w:rsidRPr="00454570">
        <w:t xml:space="preserve">. </w:t>
      </w:r>
      <w:r w:rsidR="00C90159">
        <w:t>I</w:t>
      </w:r>
      <w:r w:rsidRPr="00454570">
        <w:t xml:space="preserve">n </w:t>
      </w:r>
      <w:r w:rsidR="00C90159">
        <w:t>adherence to</w:t>
      </w:r>
      <w:r w:rsidRPr="00454570">
        <w:t xml:space="preserve"> the Clean Water Act</w:t>
      </w:r>
      <w:r w:rsidR="00C90159">
        <w:t xml:space="preserve">, </w:t>
      </w:r>
      <w:r w:rsidRPr="00454570">
        <w:t xml:space="preserve">many watersheds instituted limits to the percentage of </w:t>
      </w:r>
      <w:r w:rsidR="00C90159" w:rsidRPr="00454570">
        <w:t>storm water</w:t>
      </w:r>
      <w:r w:rsidRPr="00454570">
        <w:t xml:space="preserve"> that may be allowed into certain lakes and rivers. To minimize this run-off and the associated </w:t>
      </w:r>
      <w:r w:rsidR="001309E7">
        <w:t>impacts</w:t>
      </w:r>
      <w:r w:rsidR="00A16E54">
        <w:t xml:space="preserve"> </w:t>
      </w:r>
      <w:r w:rsidR="00C90159">
        <w:t>and in accordance with the C</w:t>
      </w:r>
      <w:r w:rsidRPr="00454570">
        <w:t xml:space="preserve">ity’s </w:t>
      </w:r>
      <w:r w:rsidR="00C90159">
        <w:t>sustainable design policy, the C</w:t>
      </w:r>
      <w:r w:rsidRPr="00454570">
        <w:t>ity of Shoreview built the Woodbridge neighborhood local roads using pervious concrete pavements in 2008. Pervious concrete pavements exhibit high hydraulic conductivity and</w:t>
      </w:r>
      <w:r w:rsidR="00C90159">
        <w:t xml:space="preserve"> high</w:t>
      </w:r>
      <w:r w:rsidRPr="00454570">
        <w:t xml:space="preserve"> sound absorption</w:t>
      </w:r>
      <w:r w:rsidR="00C90159">
        <w:t xml:space="preserve"> coefficient</w:t>
      </w:r>
      <w:r w:rsidRPr="00454570">
        <w:t xml:space="preserve"> in </w:t>
      </w:r>
      <w:r w:rsidR="001309E7" w:rsidRPr="00454570">
        <w:t>local</w:t>
      </w:r>
      <w:r w:rsidR="001309E7">
        <w:t xml:space="preserve"> or </w:t>
      </w:r>
      <w:r w:rsidRPr="00454570">
        <w:t xml:space="preserve">low volume roads.  They also provide cost savings </w:t>
      </w:r>
      <w:r w:rsidR="001309E7">
        <w:t>through</w:t>
      </w:r>
      <w:r w:rsidRPr="00454570">
        <w:t xml:space="preserve"> the minimization of hydraulic structures.</w:t>
      </w:r>
    </w:p>
    <w:p w:rsidR="00A16E54" w:rsidRDefault="009E6950" w:rsidP="00DA6D87">
      <w:pPr>
        <w:contextualSpacing/>
        <w:jc w:val="both"/>
        <w:rPr>
          <w:noProof/>
        </w:rPr>
      </w:pPr>
      <w:r w:rsidRPr="009E6950">
        <w:rPr>
          <w:noProof/>
        </w:rPr>
        <w:t xml:space="preserve"> </w:t>
      </w:r>
      <w:r w:rsidR="003461F7">
        <w:rPr>
          <w:noProof/>
        </w:rPr>
        <w:t xml:space="preserve">        </w:t>
      </w:r>
      <w:r w:rsidR="005F766B">
        <w:rPr>
          <w:rFonts w:eastAsia="+mn-ea"/>
          <w:color w:val="000000"/>
          <w:kern w:val="24"/>
        </w:rPr>
        <w:t>The pervious concrete was designed for an anticipated 23% porosity and zero-slump.</w:t>
      </w:r>
      <w:r w:rsidR="005F766B">
        <w:rPr>
          <w:noProof/>
        </w:rPr>
        <w:t xml:space="preserve"> </w:t>
      </w:r>
      <w:r w:rsidR="00A16E54">
        <w:rPr>
          <w:noProof/>
        </w:rPr>
        <w:t>City of Shoreview constructed these streets in 2008. The design (Figure</w:t>
      </w:r>
      <w:r w:rsidR="00C90159">
        <w:rPr>
          <w:noProof/>
        </w:rPr>
        <w:t xml:space="preserve"> </w:t>
      </w:r>
      <w:r w:rsidR="00A16E54">
        <w:rPr>
          <w:noProof/>
        </w:rPr>
        <w:t xml:space="preserve">1) included a 7 inch pervious concrete pavement built over 18 inches of pervious base. In the proximity of Owasso Lake, the subgrade materials </w:t>
      </w:r>
      <w:r w:rsidR="001309E7">
        <w:rPr>
          <w:noProof/>
        </w:rPr>
        <w:t>are</w:t>
      </w:r>
      <w:r w:rsidR="00A16E54">
        <w:rPr>
          <w:noProof/>
        </w:rPr>
        <w:t xml:space="preserve"> very drainable sands that allow direct infiltration of runoff</w:t>
      </w:r>
      <w:r w:rsidR="001309E7">
        <w:rPr>
          <w:noProof/>
        </w:rPr>
        <w:t xml:space="preserve"> (Figures 2  and 3 show the n</w:t>
      </w:r>
      <w:r w:rsidR="00C36BEF">
        <w:rPr>
          <w:noProof/>
        </w:rPr>
        <w:t>eighborhood)</w:t>
      </w:r>
      <w:r w:rsidR="00A16E54">
        <w:rPr>
          <w:noProof/>
        </w:rPr>
        <w:t>.</w:t>
      </w:r>
    </w:p>
    <w:p w:rsidR="00C36BEF" w:rsidRDefault="00C36BEF" w:rsidP="00DA6D87">
      <w:pPr>
        <w:contextualSpacing/>
        <w:jc w:val="both"/>
        <w:rPr>
          <w:noProof/>
        </w:rPr>
      </w:pPr>
    </w:p>
    <w:p w:rsidR="00A16E54" w:rsidRDefault="006858E6" w:rsidP="00DA6D87">
      <w:pPr>
        <w:contextualSpacing/>
        <w:jc w:val="both"/>
        <w:rPr>
          <w:noProof/>
        </w:rPr>
      </w:pPr>
      <w:r>
        <w:rPr>
          <w:noProof/>
        </w:rPr>
        <w:drawing>
          <wp:inline distT="0" distB="0" distL="0" distR="0" wp14:anchorId="156B2B2C" wp14:editId="4B63F506">
            <wp:extent cx="3160395" cy="1817033"/>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60395" cy="1817033"/>
                    </a:xfrm>
                    <a:prstGeom prst="rect">
                      <a:avLst/>
                    </a:prstGeom>
                  </pic:spPr>
                </pic:pic>
              </a:graphicData>
            </a:graphic>
          </wp:inline>
        </w:drawing>
      </w:r>
    </w:p>
    <w:p w:rsidR="00C36BEF" w:rsidRPr="00C90159" w:rsidRDefault="00C36BEF" w:rsidP="00DA6D87">
      <w:pPr>
        <w:contextualSpacing/>
        <w:jc w:val="both"/>
        <w:rPr>
          <w:b/>
          <w:noProof/>
        </w:rPr>
      </w:pPr>
      <w:r w:rsidRPr="00C90159">
        <w:rPr>
          <w:b/>
          <w:noProof/>
        </w:rPr>
        <w:t>Figure 1: General Structural &amp; Storage Design</w:t>
      </w:r>
    </w:p>
    <w:p w:rsidR="00A16E54" w:rsidRDefault="00A16E54" w:rsidP="00DA6D87">
      <w:pPr>
        <w:contextualSpacing/>
        <w:jc w:val="both"/>
        <w:rPr>
          <w:noProof/>
        </w:rPr>
      </w:pPr>
    </w:p>
    <w:p w:rsidR="00B0415C" w:rsidRDefault="00212C71" w:rsidP="00DA6D87">
      <w:pPr>
        <w:contextualSpacing/>
        <w:jc w:val="both"/>
        <w:rPr>
          <w:noProof/>
        </w:rPr>
      </w:pPr>
      <w:r w:rsidRPr="00212C71">
        <w:rPr>
          <w:noProof/>
        </w:rPr>
        <w:drawing>
          <wp:inline distT="0" distB="0" distL="0" distR="0" wp14:anchorId="77E17A83" wp14:editId="2025F6B7">
            <wp:extent cx="3276191" cy="240952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76191" cy="2409524"/>
                    </a:xfrm>
                    <a:prstGeom prst="rect">
                      <a:avLst/>
                    </a:prstGeom>
                  </pic:spPr>
                </pic:pic>
              </a:graphicData>
            </a:graphic>
          </wp:inline>
        </w:drawing>
      </w:r>
    </w:p>
    <w:p w:rsidR="00B0415C" w:rsidRDefault="00B0415C" w:rsidP="00DA6D87">
      <w:pPr>
        <w:contextualSpacing/>
        <w:jc w:val="both"/>
        <w:rPr>
          <w:b/>
        </w:rPr>
      </w:pPr>
      <w:r w:rsidRPr="00C90159">
        <w:rPr>
          <w:b/>
        </w:rPr>
        <w:t xml:space="preserve">Figure </w:t>
      </w:r>
      <w:r w:rsidR="00A16E54" w:rsidRPr="00C90159">
        <w:rPr>
          <w:b/>
        </w:rPr>
        <w:t>2</w:t>
      </w:r>
      <w:r w:rsidRPr="00C90159">
        <w:rPr>
          <w:b/>
        </w:rPr>
        <w:t>: Jerrold, Edgewater, Soo, Owasso &amp; Woodbridge Streets Pervious Pavements</w:t>
      </w:r>
    </w:p>
    <w:p w:rsidR="00C90159" w:rsidRPr="00C90159" w:rsidRDefault="00C90159" w:rsidP="00DA6D87">
      <w:pPr>
        <w:contextualSpacing/>
        <w:jc w:val="both"/>
        <w:rPr>
          <w:b/>
        </w:rPr>
      </w:pPr>
    </w:p>
    <w:p w:rsidR="00A16E54" w:rsidRDefault="00212C71" w:rsidP="00DA6D87">
      <w:pPr>
        <w:contextualSpacing/>
        <w:jc w:val="both"/>
        <w:rPr>
          <w:noProof/>
        </w:rPr>
      </w:pPr>
      <w:r w:rsidRPr="00212C71">
        <w:rPr>
          <w:noProof/>
        </w:rPr>
        <w:drawing>
          <wp:inline distT="0" distB="0" distL="0" distR="0" wp14:anchorId="4B1B5620" wp14:editId="72C3F2E5">
            <wp:extent cx="3200000" cy="223809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00000" cy="2238095"/>
                    </a:xfrm>
                    <a:prstGeom prst="rect">
                      <a:avLst/>
                    </a:prstGeom>
                  </pic:spPr>
                </pic:pic>
              </a:graphicData>
            </a:graphic>
          </wp:inline>
        </w:drawing>
      </w:r>
    </w:p>
    <w:p w:rsidR="00A16E54" w:rsidRPr="00C90159" w:rsidRDefault="00A16E54" w:rsidP="00DA6D87">
      <w:pPr>
        <w:contextualSpacing/>
        <w:jc w:val="both"/>
        <w:rPr>
          <w:b/>
          <w:noProof/>
        </w:rPr>
      </w:pPr>
      <w:r w:rsidRPr="00C90159">
        <w:rPr>
          <w:b/>
          <w:noProof/>
        </w:rPr>
        <w:t>Figure 3: Jerrold Street</w:t>
      </w:r>
    </w:p>
    <w:p w:rsidR="00745921" w:rsidRDefault="00745921" w:rsidP="00DA6D87">
      <w:pPr>
        <w:contextualSpacing/>
        <w:jc w:val="both"/>
      </w:pPr>
    </w:p>
    <w:p w:rsidR="00F34DFE" w:rsidRPr="00C90159" w:rsidRDefault="009E6950" w:rsidP="00DA6D87">
      <w:pPr>
        <w:contextualSpacing/>
        <w:jc w:val="both"/>
        <w:rPr>
          <w:b/>
          <w:sz w:val="32"/>
          <w:szCs w:val="32"/>
        </w:rPr>
      </w:pPr>
      <w:r>
        <w:t xml:space="preserve"> </w:t>
      </w:r>
      <w:r w:rsidR="00F34DFE" w:rsidRPr="00C90159">
        <w:rPr>
          <w:b/>
          <w:sz w:val="32"/>
          <w:szCs w:val="32"/>
        </w:rPr>
        <w:t>MONITORING</w:t>
      </w:r>
    </w:p>
    <w:p w:rsidR="008925C1" w:rsidRDefault="00F34DFE" w:rsidP="00DA6D87">
      <w:pPr>
        <w:contextualSpacing/>
        <w:jc w:val="both"/>
      </w:pPr>
      <w:r>
        <w:t>MnDOT researchers</w:t>
      </w:r>
      <w:r w:rsidR="00C90159">
        <w:t xml:space="preserve"> </w:t>
      </w:r>
      <w:r w:rsidR="001309E7">
        <w:t xml:space="preserve">have </w:t>
      </w:r>
      <w:r w:rsidR="00C90159">
        <w:t>monit</w:t>
      </w:r>
      <w:r w:rsidR="00C36BEF">
        <w:t xml:space="preserve">ored and evaluated </w:t>
      </w:r>
      <w:r w:rsidR="009B6F46">
        <w:t>t</w:t>
      </w:r>
      <w:r w:rsidR="00A16E54">
        <w:t>he performance of C</w:t>
      </w:r>
      <w:r w:rsidR="00B0415C" w:rsidRPr="00454570">
        <w:t>ity of Shoreview’s pervious concrete pavements</w:t>
      </w:r>
      <w:r w:rsidR="0043437E">
        <w:t xml:space="preserve"> </w:t>
      </w:r>
      <w:r w:rsidR="00C36BEF">
        <w:t xml:space="preserve">since 2009. </w:t>
      </w:r>
      <w:r w:rsidR="00DA6D87">
        <w:t>Qualitatively</w:t>
      </w:r>
      <w:r w:rsidR="005F766B">
        <w:t>, joints</w:t>
      </w:r>
      <w:r w:rsidR="00DA6D87">
        <w:t xml:space="preserve"> and pavement surfaces were observed for raveling and spalling respectively.</w:t>
      </w:r>
      <w:r w:rsidR="008925C1">
        <w:t xml:space="preserve"> After 5 </w:t>
      </w:r>
      <w:r w:rsidR="005F766B">
        <w:t>years,</w:t>
      </w:r>
      <w:r w:rsidR="008925C1">
        <w:t xml:space="preserve"> approximately 20 % of the total length of transverse joints was spalled. Approximately 15% of the surface was visibly raveled but the most raveled portion was </w:t>
      </w:r>
      <w:r w:rsidR="008925C1">
        <w:lastRenderedPageBreak/>
        <w:t xml:space="preserve">the section where a deicing salt trial had been performed. </w:t>
      </w:r>
    </w:p>
    <w:p w:rsidR="00745921" w:rsidRDefault="008925C1" w:rsidP="00DA6D87">
      <w:pPr>
        <w:contextualSpacing/>
        <w:jc w:val="both"/>
      </w:pPr>
      <w:r>
        <w:t xml:space="preserve">       </w:t>
      </w:r>
      <w:r w:rsidR="00DA6D87">
        <w:t>Quantitatively,</w:t>
      </w:r>
      <w:r w:rsidR="00C36BEF">
        <w:t xml:space="preserve"> </w:t>
      </w:r>
      <w:r w:rsidR="00B0415C" w:rsidRPr="00454570">
        <w:t>sound absorption, hydraulic conductivity, and ride quality</w:t>
      </w:r>
      <w:r w:rsidR="00DA6D87">
        <w:t xml:space="preserve"> </w:t>
      </w:r>
      <w:r w:rsidR="009B6F46">
        <w:t>(</w:t>
      </w:r>
      <w:r>
        <w:t>IRI</w:t>
      </w:r>
      <w:r w:rsidR="009B6F46">
        <w:t xml:space="preserve">) </w:t>
      </w:r>
      <w:r w:rsidR="00C90159">
        <w:t>measurements</w:t>
      </w:r>
      <w:r w:rsidR="00DA6D87">
        <w:t xml:space="preserve"> were performed </w:t>
      </w:r>
      <w:r w:rsidR="00B0415C" w:rsidRPr="00454570">
        <w:t xml:space="preserve">twice a year on average. After analyzing the data collected, hydraulic conductivity and sound absorption were found to be decreasing over time mainly due to clogging and traffic load impact. Ride quality was also observed to decrease </w:t>
      </w:r>
      <w:r w:rsidR="004519C1">
        <w:t xml:space="preserve">(IRI increased) </w:t>
      </w:r>
      <w:r w:rsidR="00B0415C" w:rsidRPr="00454570">
        <w:t xml:space="preserve">over time. </w:t>
      </w:r>
      <w:r w:rsidR="001309E7">
        <w:t xml:space="preserve"> Figures </w:t>
      </w:r>
      <w:r w:rsidR="003461F7">
        <w:t>4</w:t>
      </w:r>
      <w:r w:rsidR="001309E7">
        <w:t xml:space="preserve"> and </w:t>
      </w:r>
      <w:r w:rsidR="003461F7">
        <w:t xml:space="preserve">5 </w:t>
      </w:r>
      <w:r w:rsidR="001309E7">
        <w:t>show the</w:t>
      </w:r>
      <w:r w:rsidR="003461F7">
        <w:t xml:space="preserve"> Gate-valve Perveameter t</w:t>
      </w:r>
      <w:r w:rsidR="0008360C">
        <w:t xml:space="preserve">esting device and some results obtained from the </w:t>
      </w:r>
      <w:r w:rsidR="006858E6">
        <w:t>hydraulic conductivity</w:t>
      </w:r>
      <w:r w:rsidR="0008360C">
        <w:t xml:space="preserve"> testing</w:t>
      </w:r>
      <w:r w:rsidR="003461F7">
        <w:t xml:space="preserve"> respectively</w:t>
      </w:r>
      <w:r w:rsidR="0008360C">
        <w:t>.</w:t>
      </w:r>
    </w:p>
    <w:p w:rsidR="0043437E" w:rsidRDefault="0043437E" w:rsidP="00DA6D87">
      <w:pPr>
        <w:contextualSpacing/>
        <w:jc w:val="both"/>
      </w:pPr>
    </w:p>
    <w:p w:rsidR="00622880" w:rsidRDefault="00622880" w:rsidP="00DA6D87">
      <w:pPr>
        <w:jc w:val="both"/>
        <w:rPr>
          <w:rFonts w:eastAsia="+mn-ea"/>
          <w:color w:val="000000"/>
          <w:kern w:val="24"/>
        </w:rPr>
      </w:pPr>
      <w:r w:rsidRPr="00454570">
        <w:rPr>
          <w:noProof/>
        </w:rPr>
        <w:drawing>
          <wp:inline distT="0" distB="0" distL="0" distR="0" wp14:anchorId="3B91860E" wp14:editId="58D0A38C">
            <wp:extent cx="3037398" cy="2353587"/>
            <wp:effectExtent l="19050" t="19050" r="10795"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7489" cy="2361406"/>
                    </a:xfrm>
                    <a:prstGeom prst="rect">
                      <a:avLst/>
                    </a:prstGeom>
                    <a:noFill/>
                    <a:ln w="12700">
                      <a:solidFill>
                        <a:schemeClr val="tx1"/>
                      </a:solidFill>
                    </a:ln>
                  </pic:spPr>
                </pic:pic>
              </a:graphicData>
            </a:graphic>
          </wp:inline>
        </w:drawing>
      </w:r>
    </w:p>
    <w:p w:rsidR="00622880" w:rsidRPr="001309E7" w:rsidRDefault="00C90159" w:rsidP="00DA6D87">
      <w:pPr>
        <w:jc w:val="both"/>
        <w:rPr>
          <w:rFonts w:eastAsia="+mn-ea"/>
          <w:b/>
          <w:color w:val="000000"/>
          <w:kern w:val="24"/>
        </w:rPr>
      </w:pPr>
      <w:r w:rsidRPr="001309E7">
        <w:rPr>
          <w:rFonts w:eastAsia="+mn-ea"/>
          <w:b/>
          <w:color w:val="000000"/>
          <w:kern w:val="24"/>
        </w:rPr>
        <w:t xml:space="preserve">Figure 4: Gate-Valve “Perveammeter” Built By MnDOT Researchers </w:t>
      </w:r>
      <w:r w:rsidR="005F766B" w:rsidRPr="001309E7">
        <w:rPr>
          <w:rFonts w:eastAsia="+mn-ea"/>
          <w:b/>
          <w:color w:val="000000"/>
          <w:kern w:val="24"/>
        </w:rPr>
        <w:t>for</w:t>
      </w:r>
      <w:r w:rsidRPr="001309E7">
        <w:rPr>
          <w:rFonts w:eastAsia="+mn-ea"/>
          <w:b/>
          <w:color w:val="000000"/>
          <w:kern w:val="24"/>
        </w:rPr>
        <w:t xml:space="preserve"> </w:t>
      </w:r>
      <w:r w:rsidR="006858E6">
        <w:rPr>
          <w:rFonts w:eastAsia="+mn-ea"/>
          <w:b/>
          <w:color w:val="000000"/>
          <w:kern w:val="24"/>
        </w:rPr>
        <w:t>Hydraulic Conductivity</w:t>
      </w:r>
      <w:r w:rsidRPr="001309E7">
        <w:rPr>
          <w:rFonts w:eastAsia="+mn-ea"/>
          <w:b/>
          <w:color w:val="000000"/>
          <w:kern w:val="24"/>
        </w:rPr>
        <w:t xml:space="preserve"> Measurement</w:t>
      </w:r>
      <w:r w:rsidR="00EA49ED">
        <w:rPr>
          <w:rFonts w:eastAsia="+mn-ea"/>
          <w:b/>
          <w:color w:val="000000"/>
          <w:kern w:val="24"/>
        </w:rPr>
        <w:t>.</w:t>
      </w:r>
    </w:p>
    <w:p w:rsidR="00BD0D72" w:rsidRDefault="00BD0D72" w:rsidP="00DA6D87">
      <w:pPr>
        <w:jc w:val="both"/>
        <w:rPr>
          <w:rFonts w:eastAsia="+mn-ea"/>
          <w:color w:val="000000"/>
          <w:kern w:val="24"/>
        </w:rPr>
      </w:pPr>
    </w:p>
    <w:p w:rsidR="00A2737E" w:rsidRDefault="00A2737E" w:rsidP="00DA6D87">
      <w:pPr>
        <w:jc w:val="both"/>
        <w:rPr>
          <w:rFonts w:eastAsia="+mn-ea"/>
          <w:color w:val="000000"/>
          <w:kern w:val="24"/>
        </w:rPr>
      </w:pPr>
      <w:r w:rsidRPr="00622880">
        <w:rPr>
          <w:noProof/>
        </w:rPr>
        <w:drawing>
          <wp:inline distT="0" distB="0" distL="0" distR="0" wp14:anchorId="571F113E" wp14:editId="5DE55A21">
            <wp:extent cx="3124200" cy="24003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54990" cy="2423956"/>
                    </a:xfrm>
                    <a:prstGeom prst="rect">
                      <a:avLst/>
                    </a:prstGeom>
                    <a:ln w="9525">
                      <a:solidFill>
                        <a:schemeClr val="tx1"/>
                      </a:solidFill>
                    </a:ln>
                  </pic:spPr>
                </pic:pic>
              </a:graphicData>
            </a:graphic>
          </wp:inline>
        </w:drawing>
      </w:r>
    </w:p>
    <w:p w:rsidR="00A2737E" w:rsidRPr="001309E7" w:rsidRDefault="001309E7" w:rsidP="00DA6D87">
      <w:pPr>
        <w:jc w:val="both"/>
        <w:rPr>
          <w:rFonts w:eastAsia="+mn-ea"/>
          <w:b/>
          <w:color w:val="000000"/>
          <w:kern w:val="24"/>
        </w:rPr>
      </w:pPr>
      <w:r w:rsidRPr="001309E7">
        <w:rPr>
          <w:rFonts w:eastAsia="+mn-ea"/>
          <w:b/>
          <w:color w:val="000000"/>
          <w:kern w:val="24"/>
        </w:rPr>
        <w:t xml:space="preserve">Figure </w:t>
      </w:r>
      <w:r w:rsidR="004519C1" w:rsidRPr="001309E7">
        <w:rPr>
          <w:rFonts w:eastAsia="+mn-ea"/>
          <w:b/>
          <w:color w:val="000000"/>
          <w:kern w:val="24"/>
        </w:rPr>
        <w:t>5</w:t>
      </w:r>
      <w:r w:rsidR="0087388A">
        <w:rPr>
          <w:rFonts w:eastAsia="+mn-ea"/>
          <w:b/>
          <w:color w:val="000000"/>
          <w:kern w:val="24"/>
        </w:rPr>
        <w:t xml:space="preserve">: Noticeable </w:t>
      </w:r>
      <w:r w:rsidR="005F766B">
        <w:rPr>
          <w:rFonts w:eastAsia="+mn-ea"/>
          <w:b/>
          <w:color w:val="000000"/>
          <w:kern w:val="24"/>
        </w:rPr>
        <w:t>but</w:t>
      </w:r>
      <w:r w:rsidR="0087388A">
        <w:rPr>
          <w:rFonts w:eastAsia="+mn-ea"/>
          <w:b/>
          <w:color w:val="000000"/>
          <w:kern w:val="24"/>
        </w:rPr>
        <w:t xml:space="preserve"> I</w:t>
      </w:r>
      <w:r w:rsidR="00A2737E" w:rsidRPr="001309E7">
        <w:rPr>
          <w:rFonts w:eastAsia="+mn-ea"/>
          <w:b/>
          <w:color w:val="000000"/>
          <w:kern w:val="24"/>
        </w:rPr>
        <w:t xml:space="preserve">nsignificant Yearly Change in </w:t>
      </w:r>
      <w:r w:rsidR="006858E6">
        <w:rPr>
          <w:rFonts w:eastAsia="+mn-ea"/>
          <w:b/>
          <w:color w:val="000000"/>
          <w:kern w:val="24"/>
        </w:rPr>
        <w:t xml:space="preserve">Hydraulic </w:t>
      </w:r>
      <w:r w:rsidR="0087388A">
        <w:rPr>
          <w:rFonts w:eastAsia="+mn-ea"/>
          <w:b/>
          <w:color w:val="000000"/>
          <w:kern w:val="24"/>
        </w:rPr>
        <w:t>C</w:t>
      </w:r>
      <w:r w:rsidR="006858E6">
        <w:rPr>
          <w:rFonts w:eastAsia="+mn-ea"/>
          <w:b/>
          <w:color w:val="000000"/>
          <w:kern w:val="24"/>
        </w:rPr>
        <w:t>onductivity</w:t>
      </w:r>
    </w:p>
    <w:p w:rsidR="00BD0D72" w:rsidRDefault="00C90159" w:rsidP="00DA6D87">
      <w:pPr>
        <w:jc w:val="both"/>
      </w:pPr>
      <w:r>
        <w:rPr>
          <w:rFonts w:eastAsia="+mn-ea"/>
          <w:color w:val="000000"/>
          <w:kern w:val="24"/>
        </w:rPr>
        <w:lastRenderedPageBreak/>
        <w:t xml:space="preserve">Ride quality requirements are not generally made for city streets but for research </w:t>
      </w:r>
      <w:r w:rsidR="005F766B">
        <w:rPr>
          <w:rFonts w:eastAsia="+mn-ea"/>
          <w:color w:val="000000"/>
          <w:kern w:val="24"/>
        </w:rPr>
        <w:t>purposes,</w:t>
      </w:r>
      <w:r>
        <w:rPr>
          <w:rFonts w:eastAsia="+mn-ea"/>
          <w:color w:val="000000"/>
          <w:kern w:val="24"/>
        </w:rPr>
        <w:t xml:space="preserve"> it is an indicator of pavement condition. </w:t>
      </w:r>
      <w:r w:rsidR="0043437E">
        <w:rPr>
          <w:rFonts w:eastAsia="+mn-ea"/>
          <w:color w:val="000000"/>
          <w:kern w:val="24"/>
        </w:rPr>
        <w:t xml:space="preserve">                             </w:t>
      </w:r>
      <w:r>
        <w:rPr>
          <w:rFonts w:eastAsia="+mn-ea"/>
          <w:color w:val="000000"/>
          <w:kern w:val="24"/>
        </w:rPr>
        <w:t>As part of the monitoring, ride</w:t>
      </w:r>
      <w:r w:rsidR="00BD0D72">
        <w:rPr>
          <w:rFonts w:eastAsia="+mn-ea"/>
          <w:color w:val="000000"/>
          <w:kern w:val="24"/>
        </w:rPr>
        <w:t xml:space="preserve"> measurements were </w:t>
      </w:r>
      <w:r>
        <w:rPr>
          <w:rFonts w:eastAsia="+mn-ea"/>
          <w:color w:val="000000"/>
          <w:kern w:val="24"/>
        </w:rPr>
        <w:t xml:space="preserve">frequently </w:t>
      </w:r>
      <w:r w:rsidR="00BD0D72">
        <w:rPr>
          <w:rFonts w:eastAsia="+mn-ea"/>
          <w:color w:val="000000"/>
          <w:kern w:val="24"/>
        </w:rPr>
        <w:t>conducted to detect changes in pavement condition using the light weight profiler (Figure 6). The results indicated initially high IRI due to</w:t>
      </w:r>
      <w:r w:rsidR="00BD0D72" w:rsidRPr="00BD0D72">
        <w:rPr>
          <w:rFonts w:eastAsia="+mn-ea"/>
          <w:color w:val="000000"/>
          <w:kern w:val="24"/>
        </w:rPr>
        <w:t xml:space="preserve"> </w:t>
      </w:r>
      <w:r w:rsidR="00BD0D72">
        <w:rPr>
          <w:rFonts w:eastAsia="+mn-ea"/>
          <w:color w:val="000000"/>
          <w:kern w:val="24"/>
        </w:rPr>
        <w:t xml:space="preserve">roller screed paving. However, there was </w:t>
      </w:r>
      <w:r>
        <w:rPr>
          <w:rFonts w:eastAsia="+mn-ea"/>
          <w:color w:val="000000"/>
          <w:kern w:val="24"/>
        </w:rPr>
        <w:t>noticeable</w:t>
      </w:r>
      <w:r w:rsidR="00BD0D72">
        <w:rPr>
          <w:rFonts w:eastAsia="+mn-ea"/>
          <w:color w:val="000000"/>
          <w:kern w:val="24"/>
        </w:rPr>
        <w:t xml:space="preserve"> increase in IRI in subsequent years (Figure 6</w:t>
      </w:r>
      <w:r>
        <w:rPr>
          <w:rFonts w:eastAsia="+mn-ea"/>
          <w:color w:val="000000"/>
          <w:kern w:val="24"/>
        </w:rPr>
        <w:t>) but</w:t>
      </w:r>
      <w:r w:rsidR="00BD0D72">
        <w:rPr>
          <w:rFonts w:eastAsia="+mn-ea"/>
          <w:color w:val="000000"/>
          <w:kern w:val="24"/>
        </w:rPr>
        <w:t xml:space="preserve"> at 30 miles per </w:t>
      </w:r>
      <w:r>
        <w:rPr>
          <w:rFonts w:eastAsia="+mn-ea"/>
          <w:color w:val="000000"/>
          <w:kern w:val="24"/>
        </w:rPr>
        <w:t>hour the</w:t>
      </w:r>
      <w:r w:rsidR="00BD0D72">
        <w:rPr>
          <w:rFonts w:eastAsia="+mn-ea"/>
          <w:color w:val="000000"/>
          <w:kern w:val="24"/>
        </w:rPr>
        <w:t xml:space="preserve"> changes may not be noticeable to the rider.</w:t>
      </w:r>
      <w:r w:rsidR="00BD0D72" w:rsidRPr="004519C1">
        <w:t xml:space="preserve"> </w:t>
      </w:r>
    </w:p>
    <w:p w:rsidR="0043437E" w:rsidRDefault="0043437E" w:rsidP="00DA6D87">
      <w:pPr>
        <w:jc w:val="both"/>
      </w:pPr>
    </w:p>
    <w:p w:rsidR="00622880" w:rsidRDefault="00A2737E" w:rsidP="00DA6D87">
      <w:pPr>
        <w:jc w:val="both"/>
        <w:rPr>
          <w:rFonts w:eastAsia="+mn-ea"/>
          <w:color w:val="000000"/>
          <w:kern w:val="24"/>
        </w:rPr>
      </w:pPr>
      <w:r>
        <w:rPr>
          <w:noProof/>
        </w:rPr>
        <w:drawing>
          <wp:inline distT="0" distB="0" distL="0" distR="0" wp14:anchorId="42BF7F53" wp14:editId="47847D1A">
            <wp:extent cx="3160753" cy="2369489"/>
            <wp:effectExtent l="0" t="0" r="1905" b="0"/>
            <wp:docPr id="51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0395" cy="2369221"/>
                    </a:xfrm>
                    <a:prstGeom prst="rect">
                      <a:avLst/>
                    </a:prstGeom>
                    <a:noFill/>
                    <a:ln>
                      <a:noFill/>
                    </a:ln>
                    <a:extLst/>
                  </pic:spPr>
                </pic:pic>
              </a:graphicData>
            </a:graphic>
          </wp:inline>
        </w:drawing>
      </w:r>
    </w:p>
    <w:p w:rsidR="004519C1" w:rsidRPr="001309E7" w:rsidRDefault="004519C1" w:rsidP="00DA6D87">
      <w:pPr>
        <w:jc w:val="both"/>
        <w:rPr>
          <w:rFonts w:eastAsia="+mn-ea"/>
          <w:b/>
          <w:color w:val="000000"/>
          <w:kern w:val="24"/>
        </w:rPr>
      </w:pPr>
      <w:r w:rsidRPr="001309E7">
        <w:rPr>
          <w:rFonts w:eastAsia="+mn-ea"/>
          <w:b/>
          <w:color w:val="000000"/>
          <w:kern w:val="24"/>
        </w:rPr>
        <w:t>Figure 5: Lightweight Proliler Used for Ride Measurement.</w:t>
      </w:r>
    </w:p>
    <w:p w:rsidR="00BD0D72" w:rsidRDefault="00BD0D72" w:rsidP="00DA6D87">
      <w:pPr>
        <w:jc w:val="both"/>
        <w:rPr>
          <w:rFonts w:eastAsia="+mn-ea"/>
          <w:color w:val="000000"/>
          <w:kern w:val="24"/>
        </w:rPr>
      </w:pPr>
    </w:p>
    <w:p w:rsidR="004519C1" w:rsidRDefault="00BD0D72" w:rsidP="00DA6D87">
      <w:pPr>
        <w:jc w:val="both"/>
        <w:rPr>
          <w:rFonts w:eastAsia="+mn-ea"/>
          <w:color w:val="000000"/>
          <w:kern w:val="24"/>
        </w:rPr>
      </w:pPr>
      <w:r w:rsidRPr="00454570">
        <w:rPr>
          <w:noProof/>
        </w:rPr>
        <w:drawing>
          <wp:inline distT="0" distB="0" distL="0" distR="0" wp14:anchorId="40C02224" wp14:editId="25EA94CC">
            <wp:extent cx="3162300" cy="261937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22880" w:rsidRPr="001309E7" w:rsidRDefault="00C90159" w:rsidP="00DA6D87">
      <w:pPr>
        <w:jc w:val="both"/>
        <w:rPr>
          <w:rFonts w:eastAsia="+mn-ea"/>
          <w:b/>
          <w:color w:val="000000"/>
          <w:kern w:val="24"/>
        </w:rPr>
      </w:pPr>
      <w:r w:rsidRPr="001309E7">
        <w:rPr>
          <w:rFonts w:eastAsia="+mn-ea"/>
          <w:b/>
          <w:color w:val="000000"/>
          <w:kern w:val="24"/>
        </w:rPr>
        <w:t xml:space="preserve">Figure 6: Gradual Annual Roughness Increase Was Noticeable </w:t>
      </w:r>
    </w:p>
    <w:p w:rsidR="00622880" w:rsidRDefault="00622880" w:rsidP="00DA6D87">
      <w:pPr>
        <w:jc w:val="both"/>
        <w:rPr>
          <w:rFonts w:eastAsia="+mn-ea"/>
          <w:color w:val="000000"/>
          <w:kern w:val="24"/>
        </w:rPr>
      </w:pPr>
    </w:p>
    <w:p w:rsidR="00A56C25" w:rsidRDefault="00B05091" w:rsidP="00DA6D87">
      <w:pPr>
        <w:jc w:val="both"/>
        <w:rPr>
          <w:rFonts w:eastAsia="+mn-ea"/>
          <w:color w:val="000000"/>
          <w:kern w:val="24"/>
        </w:rPr>
      </w:pPr>
      <w:r>
        <w:rPr>
          <w:rFonts w:eastAsia="+mn-ea"/>
          <w:color w:val="000000"/>
          <w:kern w:val="24"/>
        </w:rPr>
        <w:t xml:space="preserve">One of the most informative performance </w:t>
      </w:r>
      <w:r w:rsidR="00C90159">
        <w:rPr>
          <w:rFonts w:eastAsia="+mn-ea"/>
          <w:color w:val="000000"/>
          <w:kern w:val="24"/>
        </w:rPr>
        <w:t>indexes</w:t>
      </w:r>
      <w:r>
        <w:rPr>
          <w:rFonts w:eastAsia="+mn-ea"/>
          <w:color w:val="000000"/>
          <w:kern w:val="24"/>
        </w:rPr>
        <w:t xml:space="preserve"> of pervious concrete is sound absorption coefficient. </w:t>
      </w:r>
      <w:r>
        <w:rPr>
          <w:rFonts w:eastAsia="+mn-ea"/>
          <w:color w:val="000000"/>
          <w:kern w:val="24"/>
        </w:rPr>
        <w:lastRenderedPageBreak/>
        <w:t xml:space="preserve">This value </w:t>
      </w:r>
      <w:r w:rsidR="00BD0D72">
        <w:rPr>
          <w:rFonts w:eastAsia="+mn-ea"/>
          <w:color w:val="000000"/>
          <w:kern w:val="24"/>
        </w:rPr>
        <w:t>indicates</w:t>
      </w:r>
      <w:r>
        <w:rPr>
          <w:rFonts w:eastAsia="+mn-ea"/>
          <w:color w:val="000000"/>
          <w:kern w:val="24"/>
        </w:rPr>
        <w:t xml:space="preserve"> </w:t>
      </w:r>
      <w:r w:rsidR="00BD0D72">
        <w:rPr>
          <w:rFonts w:eastAsia="+mn-ea"/>
          <w:color w:val="000000"/>
          <w:kern w:val="24"/>
        </w:rPr>
        <w:t xml:space="preserve">mechanical and </w:t>
      </w:r>
      <w:r w:rsidR="00C90159">
        <w:rPr>
          <w:rFonts w:eastAsia="+mn-ea"/>
          <w:color w:val="000000"/>
          <w:kern w:val="24"/>
        </w:rPr>
        <w:t>gravimetric</w:t>
      </w:r>
      <w:r>
        <w:rPr>
          <w:rFonts w:eastAsia="+mn-ea"/>
          <w:color w:val="000000"/>
          <w:kern w:val="24"/>
        </w:rPr>
        <w:t xml:space="preserve"> </w:t>
      </w:r>
      <w:r w:rsidR="00C90159">
        <w:rPr>
          <w:rFonts w:eastAsia="+mn-ea"/>
          <w:color w:val="000000"/>
          <w:kern w:val="24"/>
        </w:rPr>
        <w:t>(</w:t>
      </w:r>
      <w:r w:rsidR="00BD0D72">
        <w:rPr>
          <w:rFonts w:eastAsia="+mn-ea"/>
          <w:color w:val="000000"/>
          <w:kern w:val="24"/>
        </w:rPr>
        <w:t>including porosity</w:t>
      </w:r>
      <w:r w:rsidR="00C90159">
        <w:rPr>
          <w:rFonts w:eastAsia="+mn-ea"/>
          <w:color w:val="000000"/>
          <w:kern w:val="24"/>
        </w:rPr>
        <w:t>)</w:t>
      </w:r>
      <w:r w:rsidR="00BD0D72">
        <w:rPr>
          <w:rFonts w:eastAsia="+mn-ea"/>
          <w:color w:val="000000"/>
          <w:kern w:val="24"/>
        </w:rPr>
        <w:t xml:space="preserve"> changes </w:t>
      </w:r>
      <w:r w:rsidR="006B4D78">
        <w:rPr>
          <w:rFonts w:eastAsia="+mn-ea"/>
          <w:color w:val="000000"/>
          <w:kern w:val="24"/>
        </w:rPr>
        <w:t>of the paveme</w:t>
      </w:r>
      <w:r>
        <w:rPr>
          <w:rFonts w:eastAsia="+mn-ea"/>
          <w:color w:val="000000"/>
          <w:kern w:val="24"/>
        </w:rPr>
        <w:t>nt</w:t>
      </w:r>
      <w:r w:rsidR="00C90159">
        <w:rPr>
          <w:rFonts w:eastAsia="+mn-ea"/>
          <w:color w:val="000000"/>
          <w:kern w:val="24"/>
        </w:rPr>
        <w:t xml:space="preserve">. </w:t>
      </w:r>
      <w:r>
        <w:rPr>
          <w:rFonts w:eastAsia="+mn-ea"/>
          <w:color w:val="000000"/>
          <w:kern w:val="24"/>
        </w:rPr>
        <w:t xml:space="preserve">The impedance </w:t>
      </w:r>
      <w:r w:rsidR="00C90159">
        <w:rPr>
          <w:rFonts w:eastAsia="+mn-ea"/>
          <w:color w:val="000000"/>
          <w:kern w:val="24"/>
        </w:rPr>
        <w:t>tube (</w:t>
      </w:r>
      <w:r>
        <w:rPr>
          <w:rFonts w:eastAsia="+mn-ea"/>
          <w:color w:val="000000"/>
          <w:kern w:val="24"/>
        </w:rPr>
        <w:t>ASTM</w:t>
      </w:r>
      <w:r w:rsidR="0087388A">
        <w:rPr>
          <w:rFonts w:eastAsia="+mn-ea"/>
          <w:color w:val="000000"/>
          <w:kern w:val="24"/>
        </w:rPr>
        <w:t xml:space="preserve"> E-</w:t>
      </w:r>
      <w:r w:rsidR="00C90159">
        <w:rPr>
          <w:rFonts w:eastAsia="+mn-ea"/>
          <w:color w:val="000000"/>
          <w:kern w:val="24"/>
        </w:rPr>
        <w:t>1050 m</w:t>
      </w:r>
      <w:r>
        <w:rPr>
          <w:rFonts w:eastAsia="+mn-ea"/>
          <w:color w:val="000000"/>
          <w:kern w:val="24"/>
        </w:rPr>
        <w:t xml:space="preserve">odified </w:t>
      </w:r>
      <w:r w:rsidR="00C90159">
        <w:rPr>
          <w:rFonts w:eastAsia="+mn-ea"/>
          <w:color w:val="000000"/>
          <w:kern w:val="24"/>
        </w:rPr>
        <w:t>for on</w:t>
      </w:r>
      <w:r>
        <w:rPr>
          <w:rFonts w:eastAsia="+mn-ea"/>
          <w:color w:val="000000"/>
          <w:kern w:val="24"/>
        </w:rPr>
        <w:t>-site testing</w:t>
      </w:r>
      <w:r w:rsidR="00C90159">
        <w:rPr>
          <w:rFonts w:eastAsia="+mn-ea"/>
          <w:color w:val="000000"/>
          <w:kern w:val="24"/>
        </w:rPr>
        <w:t>)</w:t>
      </w:r>
      <w:r>
        <w:rPr>
          <w:rFonts w:eastAsia="+mn-ea"/>
          <w:color w:val="000000"/>
          <w:kern w:val="24"/>
        </w:rPr>
        <w:t xml:space="preserve"> was used to measure sound </w:t>
      </w:r>
      <w:r w:rsidR="00C90159">
        <w:rPr>
          <w:rFonts w:eastAsia="+mn-ea"/>
          <w:color w:val="000000"/>
          <w:kern w:val="24"/>
        </w:rPr>
        <w:t>absorption over</w:t>
      </w:r>
      <w:r>
        <w:rPr>
          <w:rFonts w:eastAsia="+mn-ea"/>
          <w:color w:val="000000"/>
          <w:kern w:val="24"/>
        </w:rPr>
        <w:t xml:space="preserve"> time</w:t>
      </w:r>
      <w:r w:rsidR="00C90159">
        <w:rPr>
          <w:rFonts w:eastAsia="+mn-ea"/>
          <w:color w:val="000000"/>
          <w:kern w:val="24"/>
        </w:rPr>
        <w:t xml:space="preserve"> as shown in Figure 7</w:t>
      </w:r>
      <w:r>
        <w:rPr>
          <w:rFonts w:eastAsia="+mn-ea"/>
          <w:color w:val="000000"/>
          <w:kern w:val="24"/>
        </w:rPr>
        <w:t xml:space="preserve">. </w:t>
      </w:r>
      <w:r w:rsidR="006B4D78">
        <w:rPr>
          <w:rFonts w:eastAsia="+mn-ea"/>
          <w:color w:val="000000"/>
          <w:kern w:val="24"/>
        </w:rPr>
        <w:t xml:space="preserve">The results </w:t>
      </w:r>
      <w:r w:rsidR="00BD0D72">
        <w:rPr>
          <w:rFonts w:eastAsia="+mn-ea"/>
          <w:color w:val="000000"/>
          <w:kern w:val="24"/>
        </w:rPr>
        <w:t xml:space="preserve">(Figure 8) </w:t>
      </w:r>
      <w:r w:rsidR="006B4D78">
        <w:rPr>
          <w:rFonts w:eastAsia="+mn-ea"/>
          <w:color w:val="000000"/>
          <w:kern w:val="24"/>
        </w:rPr>
        <w:t>show some decrease in the coefficient</w:t>
      </w:r>
      <w:r w:rsidR="00BD0D72">
        <w:rPr>
          <w:rFonts w:eastAsia="+mn-ea"/>
          <w:color w:val="000000"/>
          <w:kern w:val="24"/>
        </w:rPr>
        <w:t xml:space="preserve"> with time</w:t>
      </w:r>
      <w:r w:rsidR="005F766B">
        <w:rPr>
          <w:rFonts w:eastAsia="+mn-ea"/>
          <w:color w:val="000000"/>
          <w:kern w:val="24"/>
        </w:rPr>
        <w:t xml:space="preserve">. This is </w:t>
      </w:r>
      <w:r w:rsidR="00BD0D72">
        <w:rPr>
          <w:rFonts w:eastAsia="+mn-ea"/>
          <w:color w:val="000000"/>
          <w:kern w:val="24"/>
        </w:rPr>
        <w:t xml:space="preserve">traceable to the </w:t>
      </w:r>
      <w:r w:rsidR="00C90159">
        <w:rPr>
          <w:rFonts w:eastAsia="+mn-ea"/>
          <w:color w:val="000000"/>
          <w:kern w:val="24"/>
        </w:rPr>
        <w:t xml:space="preserve">possibly </w:t>
      </w:r>
      <w:r w:rsidR="00BD0D72">
        <w:rPr>
          <w:rFonts w:eastAsia="+mn-ea"/>
          <w:color w:val="000000"/>
          <w:kern w:val="24"/>
        </w:rPr>
        <w:t>low frequency of vacuuming of the pavement.</w:t>
      </w:r>
    </w:p>
    <w:p w:rsidR="00DA6D87" w:rsidRDefault="00DA6D87" w:rsidP="00DA6D87">
      <w:pPr>
        <w:jc w:val="both"/>
        <w:rPr>
          <w:rFonts w:eastAsia="+mn-ea"/>
          <w:color w:val="000000"/>
          <w:kern w:val="24"/>
        </w:rPr>
      </w:pPr>
    </w:p>
    <w:p w:rsidR="00C36BEF" w:rsidRDefault="00C36BEF" w:rsidP="00DA6D87">
      <w:pPr>
        <w:jc w:val="both"/>
        <w:rPr>
          <w:rFonts w:eastAsia="+mn-ea"/>
          <w:color w:val="000000"/>
          <w:kern w:val="24"/>
        </w:rPr>
      </w:pPr>
      <w:r w:rsidRPr="00454570">
        <w:rPr>
          <w:noProof/>
        </w:rPr>
        <w:drawing>
          <wp:inline distT="0" distB="0" distL="0" distR="0" wp14:anchorId="335B2828" wp14:editId="4B205C66">
            <wp:extent cx="3164619" cy="29260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0787" cy="2941029"/>
                    </a:xfrm>
                    <a:prstGeom prst="rect">
                      <a:avLst/>
                    </a:prstGeom>
                    <a:noFill/>
                    <a:ln>
                      <a:noFill/>
                    </a:ln>
                  </pic:spPr>
                </pic:pic>
              </a:graphicData>
            </a:graphic>
          </wp:inline>
        </w:drawing>
      </w:r>
    </w:p>
    <w:p w:rsidR="00C36BEF" w:rsidRDefault="004519C1" w:rsidP="00DA6D87">
      <w:pPr>
        <w:jc w:val="both"/>
        <w:rPr>
          <w:rFonts w:eastAsia="+mn-ea"/>
          <w:b/>
          <w:color w:val="000000"/>
          <w:kern w:val="24"/>
        </w:rPr>
      </w:pPr>
      <w:r w:rsidRPr="00C90159">
        <w:rPr>
          <w:rFonts w:eastAsia="+mn-ea"/>
          <w:b/>
          <w:color w:val="000000"/>
          <w:kern w:val="24"/>
        </w:rPr>
        <w:t xml:space="preserve">Figure 7: Impedance Tube used for Sound </w:t>
      </w:r>
      <w:r w:rsidR="003461F7">
        <w:rPr>
          <w:rFonts w:eastAsia="+mn-ea"/>
          <w:b/>
          <w:color w:val="000000"/>
          <w:kern w:val="24"/>
        </w:rPr>
        <w:t>A</w:t>
      </w:r>
      <w:r w:rsidRPr="00C90159">
        <w:rPr>
          <w:rFonts w:eastAsia="+mn-ea"/>
          <w:b/>
          <w:color w:val="000000"/>
          <w:kern w:val="24"/>
        </w:rPr>
        <w:t>bsorption Measurement</w:t>
      </w:r>
    </w:p>
    <w:p w:rsidR="00DA6D87" w:rsidRPr="00C90159" w:rsidRDefault="00DA6D87" w:rsidP="00DA6D87">
      <w:pPr>
        <w:jc w:val="both"/>
        <w:rPr>
          <w:rFonts w:eastAsia="+mn-ea"/>
          <w:b/>
          <w:color w:val="000000"/>
          <w:kern w:val="24"/>
        </w:rPr>
      </w:pPr>
    </w:p>
    <w:p w:rsidR="00446796" w:rsidRDefault="006B4D78" w:rsidP="00DA6D87">
      <w:pPr>
        <w:jc w:val="both"/>
        <w:rPr>
          <w:rFonts w:eastAsia="+mn-ea"/>
          <w:color w:val="000000"/>
          <w:kern w:val="24"/>
        </w:rPr>
      </w:pPr>
      <w:r w:rsidRPr="00454570">
        <w:rPr>
          <w:noProof/>
        </w:rPr>
        <w:drawing>
          <wp:inline distT="0" distB="0" distL="0" distR="0" wp14:anchorId="3385950A" wp14:editId="26B36E43">
            <wp:extent cx="3164619" cy="2568272"/>
            <wp:effectExtent l="0" t="0" r="17145" b="228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6BEF" w:rsidRPr="00472916" w:rsidRDefault="00B05091" w:rsidP="00DA6D87">
      <w:pPr>
        <w:jc w:val="both"/>
        <w:rPr>
          <w:b/>
        </w:rPr>
      </w:pPr>
      <w:r w:rsidRPr="00472916">
        <w:rPr>
          <w:b/>
        </w:rPr>
        <w:t xml:space="preserve">Figure 8: </w:t>
      </w:r>
      <w:r w:rsidR="00C90159" w:rsidRPr="00472916">
        <w:rPr>
          <w:b/>
        </w:rPr>
        <w:t xml:space="preserve"> Sound A</w:t>
      </w:r>
      <w:r w:rsidR="006B4D78" w:rsidRPr="00472916">
        <w:rPr>
          <w:b/>
        </w:rPr>
        <w:t xml:space="preserve">bsorption at </w:t>
      </w:r>
      <w:r w:rsidR="00C90159" w:rsidRPr="00472916">
        <w:rPr>
          <w:b/>
        </w:rPr>
        <w:t>1000 Hz</w:t>
      </w:r>
    </w:p>
    <w:p w:rsidR="00957582" w:rsidRDefault="00957582" w:rsidP="00DA6D87">
      <w:pPr>
        <w:contextualSpacing/>
        <w:jc w:val="both"/>
        <w:rPr>
          <w:b/>
          <w:sz w:val="32"/>
          <w:szCs w:val="32"/>
        </w:rPr>
      </w:pPr>
    </w:p>
    <w:p w:rsidR="00BD0D72" w:rsidRPr="00C90159" w:rsidRDefault="00BD0D72" w:rsidP="00DA6D87">
      <w:pPr>
        <w:contextualSpacing/>
        <w:jc w:val="both"/>
        <w:rPr>
          <w:b/>
          <w:sz w:val="32"/>
          <w:szCs w:val="32"/>
        </w:rPr>
      </w:pPr>
      <w:r w:rsidRPr="00C90159">
        <w:rPr>
          <w:b/>
          <w:sz w:val="32"/>
          <w:szCs w:val="32"/>
        </w:rPr>
        <w:t>HYDROLOGIC EVALUATION</w:t>
      </w:r>
    </w:p>
    <w:p w:rsidR="00C36BEF" w:rsidRDefault="009E6950" w:rsidP="00DA6D87">
      <w:pPr>
        <w:contextualSpacing/>
        <w:jc w:val="both"/>
      </w:pPr>
      <w:r>
        <w:t xml:space="preserve">After finding the actual/average monthly total </w:t>
      </w:r>
      <w:r>
        <w:lastRenderedPageBreak/>
        <w:t>precipitation records for the city of Shoreview from the proximate weather stations</w:t>
      </w:r>
      <w:r w:rsidR="00C90159">
        <w:t>, the</w:t>
      </w:r>
      <w:r>
        <w:t xml:space="preserve"> catchment area of the </w:t>
      </w:r>
      <w:r w:rsidR="0043437E">
        <w:t>C</w:t>
      </w:r>
      <w:r>
        <w:t>ity</w:t>
      </w:r>
      <w:r w:rsidR="00EA49ED">
        <w:t>’s</w:t>
      </w:r>
      <w:r>
        <w:t xml:space="preserve"> pervious concrete streets </w:t>
      </w:r>
      <w:r w:rsidR="0043437E">
        <w:t>was defined</w:t>
      </w:r>
      <w:r>
        <w:t xml:space="preserve">. </w:t>
      </w:r>
      <w:r w:rsidR="0043437E">
        <w:t>The watershed area of the Woodbridge neighborhood was clearly delineated from the available topographical maps.</w:t>
      </w:r>
      <w:r>
        <w:t xml:space="preserve"> </w:t>
      </w:r>
      <w:r w:rsidR="0043437E">
        <w:t xml:space="preserve">As part of the monitoring and evaluation process, researchers analyzed </w:t>
      </w:r>
      <w:r w:rsidR="00C36BEF" w:rsidRPr="00454570">
        <w:t xml:space="preserve">the </w:t>
      </w:r>
      <w:r w:rsidR="00C90159" w:rsidRPr="00454570">
        <w:t>storm water</w:t>
      </w:r>
      <w:r w:rsidR="00C36BEF" w:rsidRPr="00454570">
        <w:t xml:space="preserve"> benefits arising from the use of pervious concrete</w:t>
      </w:r>
      <w:r w:rsidR="0043437E">
        <w:t>.</w:t>
      </w:r>
    </w:p>
    <w:p w:rsidR="00EA065A" w:rsidRDefault="00EA49ED" w:rsidP="00DA6D87">
      <w:pPr>
        <w:jc w:val="both"/>
      </w:pPr>
      <w:r>
        <w:t xml:space="preserve">       </w:t>
      </w:r>
      <w:r w:rsidR="009E6950">
        <w:t xml:space="preserve">The yearly total volume of </w:t>
      </w:r>
      <w:r w:rsidR="00472916">
        <w:t>precipitation in the catchment area of the pervious pavements</w:t>
      </w:r>
      <w:r w:rsidR="009E6950">
        <w:t xml:space="preserve"> </w:t>
      </w:r>
      <w:r w:rsidR="00C90159">
        <w:t>was calculated</w:t>
      </w:r>
      <w:r>
        <w:t>. Based on annual rainfall the topography and implied catchment area this study</w:t>
      </w:r>
      <w:r w:rsidR="00C36BEF">
        <w:t xml:space="preserve"> estimated </w:t>
      </w:r>
      <w:r w:rsidR="00472916">
        <w:t xml:space="preserve">that </w:t>
      </w:r>
      <w:r w:rsidR="00E56DFF">
        <w:t xml:space="preserve">35 acre-ft of water </w:t>
      </w:r>
      <w:r w:rsidR="00DA6D87">
        <w:t>might</w:t>
      </w:r>
      <w:r w:rsidR="00E56DFF">
        <w:t xml:space="preserve"> have infiltrated the </w:t>
      </w:r>
      <w:r w:rsidR="00C90159">
        <w:t>pervious pavements</w:t>
      </w:r>
      <w:r w:rsidR="00E56DFF">
        <w:t xml:space="preserve"> within the analysis period. Though the cost of alternative hydraulic structures accentuate the advantages of a pervious </w:t>
      </w:r>
      <w:r w:rsidR="00C90159">
        <w:t>pavement where</w:t>
      </w:r>
      <w:r w:rsidR="00E56DFF">
        <w:t xml:space="preserve"> direct infiltration is possible</w:t>
      </w:r>
      <w:r w:rsidR="00472916">
        <w:t>, a long</w:t>
      </w:r>
      <w:r w:rsidR="003461F7">
        <w:t>-</w:t>
      </w:r>
      <w:r w:rsidR="00472916">
        <w:t xml:space="preserve">term  (10-year or more) performance curve will be required to </w:t>
      </w:r>
      <w:r>
        <w:t xml:space="preserve">furnish </w:t>
      </w:r>
      <w:r w:rsidR="00472916">
        <w:t xml:space="preserve"> a tenable or co</w:t>
      </w:r>
      <w:r>
        <w:t>mparative benefit cost analysis though a cost effectiveness may be obtained from initial cost consideration.</w:t>
      </w:r>
      <w:r w:rsidR="00DA6D87">
        <w:t xml:space="preserve"> A draft final detailed 5-year performance report will be available in late summer 2014.</w:t>
      </w:r>
      <w:r w:rsidR="009B687B">
        <w:t xml:space="preserve"> A detailed hydrologic evaluation was performed in the final report under review.</w:t>
      </w:r>
    </w:p>
    <w:p w:rsidR="00EA065A" w:rsidRDefault="00EA065A" w:rsidP="00DA6D87">
      <w:pPr>
        <w:jc w:val="both"/>
      </w:pPr>
    </w:p>
    <w:p w:rsidR="00EA065A" w:rsidRPr="00C90159" w:rsidRDefault="00EA065A" w:rsidP="00DA6D87">
      <w:pPr>
        <w:jc w:val="both"/>
        <w:rPr>
          <w:b/>
          <w:sz w:val="32"/>
          <w:szCs w:val="32"/>
        </w:rPr>
      </w:pPr>
      <w:r w:rsidRPr="00C90159">
        <w:rPr>
          <w:b/>
          <w:sz w:val="32"/>
          <w:szCs w:val="32"/>
        </w:rPr>
        <w:t>RECOMMENDATION</w:t>
      </w:r>
    </w:p>
    <w:p w:rsidR="00EA065A" w:rsidRDefault="00C90159" w:rsidP="00DA6D87">
      <w:pPr>
        <w:jc w:val="both"/>
      </w:pPr>
      <w:r>
        <w:t xml:space="preserve">More elaborate studies on clogging of pervious concretes in </w:t>
      </w:r>
      <w:r w:rsidR="00472916">
        <w:t>MnROAD</w:t>
      </w:r>
      <w:r>
        <w:t xml:space="preserve"> test cells indicate the susceptibility of clogged pervious pavements </w:t>
      </w:r>
      <w:r w:rsidR="00472916">
        <w:t>to freeze-</w:t>
      </w:r>
      <w:r>
        <w:t xml:space="preserve">thaw damage and raveling. </w:t>
      </w:r>
      <w:r w:rsidR="00EA065A">
        <w:t xml:space="preserve">Frequent </w:t>
      </w:r>
      <w:r>
        <w:t>vacuuming</w:t>
      </w:r>
      <w:r w:rsidR="00EA065A">
        <w:t xml:space="preserve"> removes clogging agents and minimizes the likelihood of irreversible clogging that could occur</w:t>
      </w:r>
      <w:r>
        <w:t xml:space="preserve"> </w:t>
      </w:r>
      <w:r w:rsidR="009243B1">
        <w:t>when layers of silt and clay clog the cavities</w:t>
      </w:r>
      <w:r w:rsidR="00EA065A">
        <w:t>.</w:t>
      </w:r>
    </w:p>
    <w:p w:rsidR="00BD0D72" w:rsidRDefault="003461F7" w:rsidP="00DA6D87">
      <w:pPr>
        <w:jc w:val="both"/>
      </w:pPr>
      <w:r>
        <w:t xml:space="preserve">        </w:t>
      </w:r>
      <w:r w:rsidR="00C90159">
        <w:t>In 201</w:t>
      </w:r>
      <w:r w:rsidR="00D51396">
        <w:t>5</w:t>
      </w:r>
      <w:r>
        <w:t>,</w:t>
      </w:r>
      <w:r w:rsidR="00BD0D72">
        <w:t xml:space="preserve"> a layer analysis </w:t>
      </w:r>
      <w:r w:rsidR="009B687B">
        <w:t>will be performed</w:t>
      </w:r>
      <w:bookmarkStart w:id="0" w:name="_GoBack"/>
      <w:bookmarkEnd w:id="0"/>
      <w:r w:rsidR="00BD0D72">
        <w:t xml:space="preserve">. This will entail some use of the falling weight </w:t>
      </w:r>
      <w:r w:rsidR="00C90159">
        <w:t>deflectometer</w:t>
      </w:r>
      <w:r w:rsidR="00BD0D72">
        <w:t xml:space="preserve"> to </w:t>
      </w:r>
      <w:r w:rsidR="00C90159">
        <w:t>determine</w:t>
      </w:r>
      <w:r w:rsidR="00BD0D72">
        <w:t xml:space="preserve"> moduli</w:t>
      </w:r>
      <w:r w:rsidR="00C90159">
        <w:t xml:space="preserve"> of each layer </w:t>
      </w:r>
      <w:r w:rsidR="006858E6">
        <w:t>for</w:t>
      </w:r>
      <w:r w:rsidR="00C90159">
        <w:t xml:space="preserve"> additional structural condition information.</w:t>
      </w:r>
    </w:p>
    <w:p w:rsidR="00BD0D72" w:rsidRDefault="00BD0D72" w:rsidP="00DA6D87">
      <w:pPr>
        <w:jc w:val="both"/>
      </w:pPr>
    </w:p>
    <w:p w:rsidR="00B14274" w:rsidRDefault="00BD0D72" w:rsidP="00DA6D87">
      <w:pPr>
        <w:ind w:right="864"/>
        <w:jc w:val="both"/>
        <w:rPr>
          <w:b/>
        </w:rPr>
      </w:pPr>
      <w:r>
        <w:rPr>
          <w:b/>
          <w:sz w:val="32"/>
          <w:szCs w:val="32"/>
        </w:rPr>
        <w:t>F</w:t>
      </w:r>
      <w:r w:rsidR="00B14274" w:rsidRPr="00E86FAA">
        <w:rPr>
          <w:b/>
          <w:sz w:val="32"/>
          <w:szCs w:val="32"/>
        </w:rPr>
        <w:t>or More Information:</w:t>
      </w:r>
      <w:r w:rsidR="00B14274" w:rsidRPr="009C5787">
        <w:rPr>
          <w:b/>
        </w:rPr>
        <w:t xml:space="preserve"> </w:t>
      </w:r>
    </w:p>
    <w:p w:rsidR="00E86FAA" w:rsidRDefault="00B14274" w:rsidP="00DA6D87">
      <w:pPr>
        <w:jc w:val="both"/>
        <w:rPr>
          <w:b/>
          <w:sz w:val="32"/>
          <w:szCs w:val="32"/>
        </w:rPr>
      </w:pPr>
      <w:r w:rsidRPr="009C5787">
        <w:rPr>
          <w:b/>
        </w:rPr>
        <w:t xml:space="preserve">Bernard Igbafen Izevbekhai, P.E., PhD </w:t>
      </w:r>
      <w:r>
        <w:rPr>
          <w:b/>
        </w:rPr>
        <w:t xml:space="preserve">     </w:t>
      </w:r>
      <w:hyperlink r:id="rId19" w:history="1">
        <w:r w:rsidRPr="009C5787">
          <w:rPr>
            <w:rStyle w:val="Hyperlink"/>
            <w:b/>
          </w:rPr>
          <w:t>Bernard.Izevbekhai@state.mn.us</w:t>
        </w:r>
      </w:hyperlink>
      <w:r w:rsidR="00276B9A" w:rsidRPr="00276B9A">
        <w:t>.</w:t>
      </w:r>
    </w:p>
    <w:p w:rsidR="009B2FA8" w:rsidRDefault="00E86FAA" w:rsidP="00DA6D87">
      <w:pPr>
        <w:ind w:right="864"/>
        <w:jc w:val="both"/>
        <w:rPr>
          <w:b/>
        </w:rPr>
      </w:pPr>
      <w:r>
        <w:rPr>
          <w:b/>
        </w:rPr>
        <w:t xml:space="preserve">   </w:t>
      </w:r>
    </w:p>
    <w:sectPr w:rsidR="009B2FA8" w:rsidSect="008925C1">
      <w:headerReference w:type="even" r:id="rId20"/>
      <w:headerReference w:type="default" r:id="rId21"/>
      <w:footerReference w:type="default" r:id="rId22"/>
      <w:headerReference w:type="first" r:id="rId23"/>
      <w:pgSz w:w="12240" w:h="15840" w:code="1"/>
      <w:pgMar w:top="1008" w:right="864" w:bottom="1008" w:left="864" w:header="720" w:footer="720" w:gutter="0"/>
      <w:pgBorders w:offsetFrom="page">
        <w:top w:val="single" w:sz="4" w:space="25" w:color="14BE28" w:shadow="1"/>
        <w:left w:val="single" w:sz="4" w:space="25" w:color="14BE28" w:shadow="1"/>
        <w:bottom w:val="single" w:sz="4" w:space="25" w:color="14BE28" w:shadow="1"/>
        <w:right w:val="single" w:sz="4" w:space="25" w:color="14BE28" w:shadow="1"/>
      </w:pgBorders>
      <w:cols w:num="2" w:space="14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BBF" w:rsidRDefault="00903BBF">
      <w:r>
        <w:separator/>
      </w:r>
    </w:p>
  </w:endnote>
  <w:endnote w:type="continuationSeparator" w:id="0">
    <w:p w:rsidR="00903BBF" w:rsidRDefault="00903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1C5" w:rsidRDefault="009371C5">
    <w:pPr>
      <w:pStyle w:val="Footer"/>
    </w:pPr>
    <w:r>
      <w:rPr>
        <w:noProof/>
      </w:rPr>
      <w:drawing>
        <wp:anchor distT="0" distB="0" distL="114300" distR="114300" simplePos="0" relativeHeight="251658240" behindDoc="1" locked="0" layoutInCell="1" allowOverlap="1" wp14:anchorId="0CD31C6C" wp14:editId="19F60725">
          <wp:simplePos x="0" y="0"/>
          <wp:positionH relativeFrom="column">
            <wp:posOffset>-201930</wp:posOffset>
          </wp:positionH>
          <wp:positionV relativeFrom="paragraph">
            <wp:posOffset>-281940</wp:posOffset>
          </wp:positionV>
          <wp:extent cx="6781800" cy="474980"/>
          <wp:effectExtent l="0" t="0" r="0" b="1270"/>
          <wp:wrapTight wrapText="bothSides">
            <wp:wrapPolygon edited="0">
              <wp:start x="0" y="0"/>
              <wp:lineTo x="0" y="20791"/>
              <wp:lineTo x="21539" y="20791"/>
              <wp:lineTo x="21539" y="0"/>
              <wp:lineTo x="0" y="0"/>
            </wp:wrapPolygon>
          </wp:wrapTight>
          <wp:docPr id="1" name="Picture 3" descr="30453 MnRoad_footer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453 MnRoad_footer_v2.jpg"/>
                  <pic:cNvPicPr>
                    <a:picLocks noChangeAspect="1" noChangeArrowheads="1"/>
                  </pic:cNvPicPr>
                </pic:nvPicPr>
                <pic:blipFill>
                  <a:blip r:embed="rId1"/>
                  <a:srcRect/>
                  <a:stretch>
                    <a:fillRect/>
                  </a:stretch>
                </pic:blipFill>
                <pic:spPr bwMode="auto">
                  <a:xfrm>
                    <a:off x="0" y="0"/>
                    <a:ext cx="6781800" cy="474980"/>
                  </a:xfrm>
                  <a:prstGeom prst="rect">
                    <a:avLst/>
                  </a:prstGeom>
                  <a:noFill/>
                </pic:spPr>
              </pic:pic>
            </a:graphicData>
          </a:graphic>
          <wp14:sizeRelH relativeFrom="margin">
            <wp14:pctWidth>0</wp14:pctWidth>
          </wp14:sizeRelH>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BBF" w:rsidRDefault="00903BBF">
      <w:r>
        <w:separator/>
      </w:r>
    </w:p>
  </w:footnote>
  <w:footnote w:type="continuationSeparator" w:id="0">
    <w:p w:rsidR="00903BBF" w:rsidRDefault="00903B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1C5" w:rsidRDefault="00810E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77907" o:spid="_x0000_s2050" type="#_x0000_t75" style="position:absolute;margin-left:0;margin-top:0;width:467.95pt;height:369pt;z-index:-251656704;mso-position-horizontal:center;mso-position-horizontal-relative:margin;mso-position-vertical:center;mso-position-vertical-relative:margin" o:allowincell="f">
          <v:imagedata r:id="rId1" o:title="MnROAD LVR Aerial Classic"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1C5" w:rsidRDefault="00810E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77908" o:spid="_x0000_s2051" type="#_x0000_t75" style="position:absolute;margin-left:0;margin-top:0;width:467.95pt;height:369pt;z-index:-251655680;mso-position-horizontal:center;mso-position-horizontal-relative:margin;mso-position-vertical:center;mso-position-vertical-relative:margin" o:allowincell="f">
          <v:imagedata r:id="rId1" o:title="MnROAD LVR Aerial Classic"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1C5" w:rsidRDefault="00810E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77906" o:spid="_x0000_s2049" type="#_x0000_t75" style="position:absolute;margin-left:0;margin-top:0;width:467.95pt;height:369pt;z-index:-251657728;mso-position-horizontal:center;mso-position-horizontal-relative:margin;mso-position-vertical:center;mso-position-vertical-relative:margin" o:allowincell="f">
          <v:imagedata r:id="rId1" o:title="MnROAD LVR Aerial Classic"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1E7B1B23"/>
    <w:multiLevelType w:val="multilevel"/>
    <w:tmpl w:val="72E08D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5100991"/>
    <w:multiLevelType w:val="hybridMultilevel"/>
    <w:tmpl w:val="7F5EC470"/>
    <w:lvl w:ilvl="0" w:tplc="0409000F">
      <w:start w:val="1"/>
      <w:numFmt w:val="decimal"/>
      <w:lvlText w:val="%1."/>
      <w:lvlJc w:val="left"/>
      <w:pPr>
        <w:tabs>
          <w:tab w:val="num" w:pos="810"/>
        </w:tabs>
        <w:ind w:left="810" w:hanging="360"/>
      </w:p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
    <w:nsid w:val="34421257"/>
    <w:multiLevelType w:val="hybridMultilevel"/>
    <w:tmpl w:val="89DE77C6"/>
    <w:lvl w:ilvl="0" w:tplc="437C5C7A">
      <w:start w:val="1"/>
      <w:numFmt w:val="bullet"/>
      <w:lvlText w:val="•"/>
      <w:lvlJc w:val="left"/>
      <w:pPr>
        <w:tabs>
          <w:tab w:val="num" w:pos="720"/>
        </w:tabs>
        <w:ind w:left="720" w:hanging="360"/>
      </w:pPr>
      <w:rPr>
        <w:rFonts w:ascii="Arial" w:hAnsi="Arial" w:hint="default"/>
      </w:rPr>
    </w:lvl>
    <w:lvl w:ilvl="1" w:tplc="469C5BB0" w:tentative="1">
      <w:start w:val="1"/>
      <w:numFmt w:val="bullet"/>
      <w:lvlText w:val="•"/>
      <w:lvlJc w:val="left"/>
      <w:pPr>
        <w:tabs>
          <w:tab w:val="num" w:pos="1440"/>
        </w:tabs>
        <w:ind w:left="1440" w:hanging="360"/>
      </w:pPr>
      <w:rPr>
        <w:rFonts w:ascii="Arial" w:hAnsi="Arial" w:hint="default"/>
      </w:rPr>
    </w:lvl>
    <w:lvl w:ilvl="2" w:tplc="EB1291A2" w:tentative="1">
      <w:start w:val="1"/>
      <w:numFmt w:val="bullet"/>
      <w:lvlText w:val="•"/>
      <w:lvlJc w:val="left"/>
      <w:pPr>
        <w:tabs>
          <w:tab w:val="num" w:pos="2160"/>
        </w:tabs>
        <w:ind w:left="2160" w:hanging="360"/>
      </w:pPr>
      <w:rPr>
        <w:rFonts w:ascii="Arial" w:hAnsi="Arial" w:hint="default"/>
      </w:rPr>
    </w:lvl>
    <w:lvl w:ilvl="3" w:tplc="6D2EDFD6" w:tentative="1">
      <w:start w:val="1"/>
      <w:numFmt w:val="bullet"/>
      <w:lvlText w:val="•"/>
      <w:lvlJc w:val="left"/>
      <w:pPr>
        <w:tabs>
          <w:tab w:val="num" w:pos="2880"/>
        </w:tabs>
        <w:ind w:left="2880" w:hanging="360"/>
      </w:pPr>
      <w:rPr>
        <w:rFonts w:ascii="Arial" w:hAnsi="Arial" w:hint="default"/>
      </w:rPr>
    </w:lvl>
    <w:lvl w:ilvl="4" w:tplc="9266E0F4" w:tentative="1">
      <w:start w:val="1"/>
      <w:numFmt w:val="bullet"/>
      <w:lvlText w:val="•"/>
      <w:lvlJc w:val="left"/>
      <w:pPr>
        <w:tabs>
          <w:tab w:val="num" w:pos="3600"/>
        </w:tabs>
        <w:ind w:left="3600" w:hanging="360"/>
      </w:pPr>
      <w:rPr>
        <w:rFonts w:ascii="Arial" w:hAnsi="Arial" w:hint="default"/>
      </w:rPr>
    </w:lvl>
    <w:lvl w:ilvl="5" w:tplc="999448F8" w:tentative="1">
      <w:start w:val="1"/>
      <w:numFmt w:val="bullet"/>
      <w:lvlText w:val="•"/>
      <w:lvlJc w:val="left"/>
      <w:pPr>
        <w:tabs>
          <w:tab w:val="num" w:pos="4320"/>
        </w:tabs>
        <w:ind w:left="4320" w:hanging="360"/>
      </w:pPr>
      <w:rPr>
        <w:rFonts w:ascii="Arial" w:hAnsi="Arial" w:hint="default"/>
      </w:rPr>
    </w:lvl>
    <w:lvl w:ilvl="6" w:tplc="C4160D36" w:tentative="1">
      <w:start w:val="1"/>
      <w:numFmt w:val="bullet"/>
      <w:lvlText w:val="•"/>
      <w:lvlJc w:val="left"/>
      <w:pPr>
        <w:tabs>
          <w:tab w:val="num" w:pos="5040"/>
        </w:tabs>
        <w:ind w:left="5040" w:hanging="360"/>
      </w:pPr>
      <w:rPr>
        <w:rFonts w:ascii="Arial" w:hAnsi="Arial" w:hint="default"/>
      </w:rPr>
    </w:lvl>
    <w:lvl w:ilvl="7" w:tplc="1D94284E" w:tentative="1">
      <w:start w:val="1"/>
      <w:numFmt w:val="bullet"/>
      <w:lvlText w:val="•"/>
      <w:lvlJc w:val="left"/>
      <w:pPr>
        <w:tabs>
          <w:tab w:val="num" w:pos="5760"/>
        </w:tabs>
        <w:ind w:left="5760" w:hanging="360"/>
      </w:pPr>
      <w:rPr>
        <w:rFonts w:ascii="Arial" w:hAnsi="Arial" w:hint="default"/>
      </w:rPr>
    </w:lvl>
    <w:lvl w:ilvl="8" w:tplc="B298DD92" w:tentative="1">
      <w:start w:val="1"/>
      <w:numFmt w:val="bullet"/>
      <w:lvlText w:val="•"/>
      <w:lvlJc w:val="left"/>
      <w:pPr>
        <w:tabs>
          <w:tab w:val="num" w:pos="6480"/>
        </w:tabs>
        <w:ind w:left="6480" w:hanging="360"/>
      </w:pPr>
      <w:rPr>
        <w:rFonts w:ascii="Arial" w:hAnsi="Arial" w:hint="default"/>
      </w:rPr>
    </w:lvl>
  </w:abstractNum>
  <w:abstractNum w:abstractNumId="4">
    <w:nsid w:val="37F32062"/>
    <w:multiLevelType w:val="multilevel"/>
    <w:tmpl w:val="FD929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D6465A3"/>
    <w:multiLevelType w:val="hybridMultilevel"/>
    <w:tmpl w:val="B7B4F44E"/>
    <w:lvl w:ilvl="0" w:tplc="D65E6FF8">
      <w:start w:val="1"/>
      <w:numFmt w:val="bullet"/>
      <w:lvlText w:val="•"/>
      <w:lvlJc w:val="left"/>
      <w:pPr>
        <w:tabs>
          <w:tab w:val="num" w:pos="720"/>
        </w:tabs>
        <w:ind w:left="720" w:hanging="360"/>
      </w:pPr>
      <w:rPr>
        <w:rFonts w:ascii="Arial" w:hAnsi="Arial" w:hint="default"/>
      </w:rPr>
    </w:lvl>
    <w:lvl w:ilvl="1" w:tplc="099CFF12">
      <w:start w:val="1"/>
      <w:numFmt w:val="bullet"/>
      <w:lvlText w:val="•"/>
      <w:lvlJc w:val="left"/>
      <w:pPr>
        <w:tabs>
          <w:tab w:val="num" w:pos="1440"/>
        </w:tabs>
        <w:ind w:left="1440" w:hanging="360"/>
      </w:pPr>
      <w:rPr>
        <w:rFonts w:ascii="Arial" w:hAnsi="Arial" w:hint="default"/>
      </w:rPr>
    </w:lvl>
    <w:lvl w:ilvl="2" w:tplc="F2043736" w:tentative="1">
      <w:start w:val="1"/>
      <w:numFmt w:val="bullet"/>
      <w:lvlText w:val="•"/>
      <w:lvlJc w:val="left"/>
      <w:pPr>
        <w:tabs>
          <w:tab w:val="num" w:pos="2160"/>
        </w:tabs>
        <w:ind w:left="2160" w:hanging="360"/>
      </w:pPr>
      <w:rPr>
        <w:rFonts w:ascii="Arial" w:hAnsi="Arial" w:hint="default"/>
      </w:rPr>
    </w:lvl>
    <w:lvl w:ilvl="3" w:tplc="89727048" w:tentative="1">
      <w:start w:val="1"/>
      <w:numFmt w:val="bullet"/>
      <w:lvlText w:val="•"/>
      <w:lvlJc w:val="left"/>
      <w:pPr>
        <w:tabs>
          <w:tab w:val="num" w:pos="2880"/>
        </w:tabs>
        <w:ind w:left="2880" w:hanging="360"/>
      </w:pPr>
      <w:rPr>
        <w:rFonts w:ascii="Arial" w:hAnsi="Arial" w:hint="default"/>
      </w:rPr>
    </w:lvl>
    <w:lvl w:ilvl="4" w:tplc="03AC4272" w:tentative="1">
      <w:start w:val="1"/>
      <w:numFmt w:val="bullet"/>
      <w:lvlText w:val="•"/>
      <w:lvlJc w:val="left"/>
      <w:pPr>
        <w:tabs>
          <w:tab w:val="num" w:pos="3600"/>
        </w:tabs>
        <w:ind w:left="3600" w:hanging="360"/>
      </w:pPr>
      <w:rPr>
        <w:rFonts w:ascii="Arial" w:hAnsi="Arial" w:hint="default"/>
      </w:rPr>
    </w:lvl>
    <w:lvl w:ilvl="5" w:tplc="60E00F3A" w:tentative="1">
      <w:start w:val="1"/>
      <w:numFmt w:val="bullet"/>
      <w:lvlText w:val="•"/>
      <w:lvlJc w:val="left"/>
      <w:pPr>
        <w:tabs>
          <w:tab w:val="num" w:pos="4320"/>
        </w:tabs>
        <w:ind w:left="4320" w:hanging="360"/>
      </w:pPr>
      <w:rPr>
        <w:rFonts w:ascii="Arial" w:hAnsi="Arial" w:hint="default"/>
      </w:rPr>
    </w:lvl>
    <w:lvl w:ilvl="6" w:tplc="A1C214F4" w:tentative="1">
      <w:start w:val="1"/>
      <w:numFmt w:val="bullet"/>
      <w:lvlText w:val="•"/>
      <w:lvlJc w:val="left"/>
      <w:pPr>
        <w:tabs>
          <w:tab w:val="num" w:pos="5040"/>
        </w:tabs>
        <w:ind w:left="5040" w:hanging="360"/>
      </w:pPr>
      <w:rPr>
        <w:rFonts w:ascii="Arial" w:hAnsi="Arial" w:hint="default"/>
      </w:rPr>
    </w:lvl>
    <w:lvl w:ilvl="7" w:tplc="29FACF1E" w:tentative="1">
      <w:start w:val="1"/>
      <w:numFmt w:val="bullet"/>
      <w:lvlText w:val="•"/>
      <w:lvlJc w:val="left"/>
      <w:pPr>
        <w:tabs>
          <w:tab w:val="num" w:pos="5760"/>
        </w:tabs>
        <w:ind w:left="5760" w:hanging="360"/>
      </w:pPr>
      <w:rPr>
        <w:rFonts w:ascii="Arial" w:hAnsi="Arial" w:hint="default"/>
      </w:rPr>
    </w:lvl>
    <w:lvl w:ilvl="8" w:tplc="4E2E8B1E" w:tentative="1">
      <w:start w:val="1"/>
      <w:numFmt w:val="bullet"/>
      <w:lvlText w:val="•"/>
      <w:lvlJc w:val="left"/>
      <w:pPr>
        <w:tabs>
          <w:tab w:val="num" w:pos="6480"/>
        </w:tabs>
        <w:ind w:left="6480" w:hanging="360"/>
      </w:pPr>
      <w:rPr>
        <w:rFonts w:ascii="Arial" w:hAnsi="Arial" w:hint="default"/>
      </w:rPr>
    </w:lvl>
  </w:abstractNum>
  <w:abstractNum w:abstractNumId="6">
    <w:nsid w:val="7DC83290"/>
    <w:multiLevelType w:val="hybridMultilevel"/>
    <w:tmpl w:val="D6CCEF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2"/>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style="mso-position-vertical-relative:line"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AED"/>
    <w:rsid w:val="0002222F"/>
    <w:rsid w:val="00061DC7"/>
    <w:rsid w:val="0008360C"/>
    <w:rsid w:val="000872BE"/>
    <w:rsid w:val="000903D6"/>
    <w:rsid w:val="000B0BC5"/>
    <w:rsid w:val="000B4A43"/>
    <w:rsid w:val="000B5C08"/>
    <w:rsid w:val="000B7CB2"/>
    <w:rsid w:val="000D605C"/>
    <w:rsid w:val="000F646D"/>
    <w:rsid w:val="00112F87"/>
    <w:rsid w:val="001309E7"/>
    <w:rsid w:val="00136F82"/>
    <w:rsid w:val="001464F4"/>
    <w:rsid w:val="00165206"/>
    <w:rsid w:val="00171B7F"/>
    <w:rsid w:val="001820A3"/>
    <w:rsid w:val="001A02E1"/>
    <w:rsid w:val="001A13A7"/>
    <w:rsid w:val="001A1A35"/>
    <w:rsid w:val="001C2C1D"/>
    <w:rsid w:val="001C7BE5"/>
    <w:rsid w:val="001D3875"/>
    <w:rsid w:val="001E7F9C"/>
    <w:rsid w:val="001F7336"/>
    <w:rsid w:val="00212C71"/>
    <w:rsid w:val="00217781"/>
    <w:rsid w:val="002475BF"/>
    <w:rsid w:val="00276B9A"/>
    <w:rsid w:val="00277954"/>
    <w:rsid w:val="00292827"/>
    <w:rsid w:val="00297E8F"/>
    <w:rsid w:val="002C336B"/>
    <w:rsid w:val="003149A5"/>
    <w:rsid w:val="0032467F"/>
    <w:rsid w:val="00343D5C"/>
    <w:rsid w:val="003461F7"/>
    <w:rsid w:val="00384A86"/>
    <w:rsid w:val="00387A95"/>
    <w:rsid w:val="00387C0E"/>
    <w:rsid w:val="003A333D"/>
    <w:rsid w:val="003A47A6"/>
    <w:rsid w:val="003D5BE5"/>
    <w:rsid w:val="003F405F"/>
    <w:rsid w:val="00403CBE"/>
    <w:rsid w:val="0042610F"/>
    <w:rsid w:val="0043437E"/>
    <w:rsid w:val="004370E7"/>
    <w:rsid w:val="00446796"/>
    <w:rsid w:val="004519C1"/>
    <w:rsid w:val="00472916"/>
    <w:rsid w:val="004763ED"/>
    <w:rsid w:val="00481F56"/>
    <w:rsid w:val="004D429B"/>
    <w:rsid w:val="004E0F54"/>
    <w:rsid w:val="005072C6"/>
    <w:rsid w:val="005303F6"/>
    <w:rsid w:val="0054607E"/>
    <w:rsid w:val="00564AC1"/>
    <w:rsid w:val="005652CA"/>
    <w:rsid w:val="00566354"/>
    <w:rsid w:val="00592EB6"/>
    <w:rsid w:val="005A074C"/>
    <w:rsid w:val="005A1A46"/>
    <w:rsid w:val="005A71B3"/>
    <w:rsid w:val="005C453B"/>
    <w:rsid w:val="005C69B3"/>
    <w:rsid w:val="005C6F94"/>
    <w:rsid w:val="005D19C0"/>
    <w:rsid w:val="005D37AB"/>
    <w:rsid w:val="005E56F7"/>
    <w:rsid w:val="005F766B"/>
    <w:rsid w:val="006100B9"/>
    <w:rsid w:val="00622880"/>
    <w:rsid w:val="006358CB"/>
    <w:rsid w:val="00644717"/>
    <w:rsid w:val="0064642D"/>
    <w:rsid w:val="00653EB7"/>
    <w:rsid w:val="006858E6"/>
    <w:rsid w:val="00690967"/>
    <w:rsid w:val="006A1BE8"/>
    <w:rsid w:val="006A72F7"/>
    <w:rsid w:val="006B4D78"/>
    <w:rsid w:val="006D6B77"/>
    <w:rsid w:val="006D795C"/>
    <w:rsid w:val="00701CC0"/>
    <w:rsid w:val="0072751A"/>
    <w:rsid w:val="00745921"/>
    <w:rsid w:val="00746A18"/>
    <w:rsid w:val="00765226"/>
    <w:rsid w:val="007A3929"/>
    <w:rsid w:val="007C013B"/>
    <w:rsid w:val="007C567A"/>
    <w:rsid w:val="007D6FA4"/>
    <w:rsid w:val="007D7B60"/>
    <w:rsid w:val="00806347"/>
    <w:rsid w:val="0084110D"/>
    <w:rsid w:val="0086071F"/>
    <w:rsid w:val="00861603"/>
    <w:rsid w:val="0087388A"/>
    <w:rsid w:val="00873B7C"/>
    <w:rsid w:val="00885CA8"/>
    <w:rsid w:val="008925C1"/>
    <w:rsid w:val="008C2C1B"/>
    <w:rsid w:val="008D5D56"/>
    <w:rsid w:val="008F140A"/>
    <w:rsid w:val="00903BBF"/>
    <w:rsid w:val="009243B1"/>
    <w:rsid w:val="00934AED"/>
    <w:rsid w:val="009371C5"/>
    <w:rsid w:val="00946517"/>
    <w:rsid w:val="00957582"/>
    <w:rsid w:val="009933F2"/>
    <w:rsid w:val="00995E38"/>
    <w:rsid w:val="009B2FA8"/>
    <w:rsid w:val="009B687B"/>
    <w:rsid w:val="009B6F46"/>
    <w:rsid w:val="009C4A3F"/>
    <w:rsid w:val="009C5787"/>
    <w:rsid w:val="009E6950"/>
    <w:rsid w:val="00A16E54"/>
    <w:rsid w:val="00A20A50"/>
    <w:rsid w:val="00A20BA0"/>
    <w:rsid w:val="00A216B2"/>
    <w:rsid w:val="00A2737E"/>
    <w:rsid w:val="00A310DA"/>
    <w:rsid w:val="00A315C9"/>
    <w:rsid w:val="00A32B30"/>
    <w:rsid w:val="00A35E9B"/>
    <w:rsid w:val="00A437AD"/>
    <w:rsid w:val="00A45DD8"/>
    <w:rsid w:val="00A56C25"/>
    <w:rsid w:val="00A67F5D"/>
    <w:rsid w:val="00A7076C"/>
    <w:rsid w:val="00A708B4"/>
    <w:rsid w:val="00A71B66"/>
    <w:rsid w:val="00AA7638"/>
    <w:rsid w:val="00AE7595"/>
    <w:rsid w:val="00B0415C"/>
    <w:rsid w:val="00B05091"/>
    <w:rsid w:val="00B14274"/>
    <w:rsid w:val="00B40685"/>
    <w:rsid w:val="00B50770"/>
    <w:rsid w:val="00B617E9"/>
    <w:rsid w:val="00B7413B"/>
    <w:rsid w:val="00B87159"/>
    <w:rsid w:val="00BA4B2F"/>
    <w:rsid w:val="00BC1E4F"/>
    <w:rsid w:val="00BD016F"/>
    <w:rsid w:val="00BD0D72"/>
    <w:rsid w:val="00BD3626"/>
    <w:rsid w:val="00BE2326"/>
    <w:rsid w:val="00BE49D9"/>
    <w:rsid w:val="00BE7ECB"/>
    <w:rsid w:val="00C03EFA"/>
    <w:rsid w:val="00C168C6"/>
    <w:rsid w:val="00C36BEF"/>
    <w:rsid w:val="00C6655C"/>
    <w:rsid w:val="00C90159"/>
    <w:rsid w:val="00C92028"/>
    <w:rsid w:val="00CA108E"/>
    <w:rsid w:val="00CA7DE2"/>
    <w:rsid w:val="00CF5329"/>
    <w:rsid w:val="00D15143"/>
    <w:rsid w:val="00D23E85"/>
    <w:rsid w:val="00D51396"/>
    <w:rsid w:val="00D71005"/>
    <w:rsid w:val="00D74BF2"/>
    <w:rsid w:val="00DA6D87"/>
    <w:rsid w:val="00DA7E47"/>
    <w:rsid w:val="00DD55C7"/>
    <w:rsid w:val="00DE4F1D"/>
    <w:rsid w:val="00DF2BA9"/>
    <w:rsid w:val="00E30F6C"/>
    <w:rsid w:val="00E4276D"/>
    <w:rsid w:val="00E56DFF"/>
    <w:rsid w:val="00E72C9E"/>
    <w:rsid w:val="00E86FAA"/>
    <w:rsid w:val="00E925A3"/>
    <w:rsid w:val="00E961AB"/>
    <w:rsid w:val="00EA065A"/>
    <w:rsid w:val="00EA49ED"/>
    <w:rsid w:val="00EC6B2D"/>
    <w:rsid w:val="00F17AFF"/>
    <w:rsid w:val="00F24F10"/>
    <w:rsid w:val="00F267DE"/>
    <w:rsid w:val="00F33BCF"/>
    <w:rsid w:val="00F34DFE"/>
    <w:rsid w:val="00F3670A"/>
    <w:rsid w:val="00F4135D"/>
    <w:rsid w:val="00F42B17"/>
    <w:rsid w:val="00F55332"/>
    <w:rsid w:val="00F90B5D"/>
    <w:rsid w:val="00FC669A"/>
    <w:rsid w:val="00FD0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CF5329"/>
    <w:rPr>
      <w:sz w:val="24"/>
      <w:szCs w:val="24"/>
    </w:rPr>
  </w:style>
  <w:style w:type="paragraph" w:styleId="Heading1">
    <w:name w:val="heading 1"/>
    <w:basedOn w:val="Normal"/>
    <w:next w:val="Normal"/>
    <w:qFormat/>
    <w:rsid w:val="00A315C9"/>
    <w:pPr>
      <w:keepNext/>
      <w:spacing w:before="240" w:after="60"/>
      <w:outlineLvl w:val="0"/>
    </w:pPr>
    <w:rPr>
      <w:rFonts w:ascii="Arial" w:hAnsi="Arial" w:cs="Arial"/>
      <w:b/>
      <w:bCs/>
      <w:kern w:val="32"/>
      <w:sz w:val="32"/>
      <w:szCs w:val="32"/>
    </w:rPr>
  </w:style>
  <w:style w:type="paragraph" w:styleId="Heading2">
    <w:name w:val="heading 2"/>
    <w:next w:val="Normal"/>
    <w:qFormat/>
    <w:rsid w:val="00A315C9"/>
    <w:pPr>
      <w:tabs>
        <w:tab w:val="left" w:pos="1440"/>
      </w:tabs>
      <w:ind w:left="1440" w:hanging="720"/>
      <w:outlineLvl w:val="1"/>
    </w:pPr>
    <w:rPr>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7076C"/>
    <w:pPr>
      <w:spacing w:before="100" w:beforeAutospacing="1" w:after="100" w:afterAutospacing="1"/>
    </w:pPr>
    <w:rPr>
      <w:rFonts w:ascii="Verdana" w:hAnsi="Verdana"/>
      <w:sz w:val="20"/>
      <w:szCs w:val="20"/>
    </w:rPr>
  </w:style>
  <w:style w:type="character" w:styleId="Hyperlink">
    <w:name w:val="Hyperlink"/>
    <w:basedOn w:val="DefaultParagraphFont"/>
    <w:rsid w:val="00112F87"/>
    <w:rPr>
      <w:color w:val="0000FF"/>
      <w:u w:val="single"/>
    </w:rPr>
  </w:style>
  <w:style w:type="paragraph" w:styleId="Header">
    <w:name w:val="header"/>
    <w:basedOn w:val="Normal"/>
    <w:rsid w:val="00A315C9"/>
    <w:pPr>
      <w:tabs>
        <w:tab w:val="center" w:pos="4320"/>
        <w:tab w:val="right" w:pos="8640"/>
      </w:tabs>
    </w:pPr>
  </w:style>
  <w:style w:type="paragraph" w:styleId="Footer">
    <w:name w:val="footer"/>
    <w:basedOn w:val="Normal"/>
    <w:rsid w:val="00A315C9"/>
    <w:pPr>
      <w:tabs>
        <w:tab w:val="center" w:pos="4320"/>
        <w:tab w:val="right" w:pos="8640"/>
      </w:tabs>
    </w:pPr>
  </w:style>
  <w:style w:type="paragraph" w:styleId="PlainText">
    <w:name w:val="Plain Text"/>
    <w:basedOn w:val="Normal"/>
    <w:link w:val="PlainTextChar"/>
    <w:rsid w:val="00A315C9"/>
    <w:rPr>
      <w:rFonts w:ascii="Consolas" w:hAnsi="Consolas" w:cs="Consolas"/>
      <w:sz w:val="21"/>
      <w:szCs w:val="21"/>
    </w:rPr>
  </w:style>
  <w:style w:type="character" w:customStyle="1" w:styleId="PlainTextChar">
    <w:name w:val="Plain Text Char"/>
    <w:basedOn w:val="DefaultParagraphFont"/>
    <w:link w:val="PlainText"/>
    <w:rsid w:val="00A315C9"/>
    <w:rPr>
      <w:rFonts w:ascii="Consolas" w:hAnsi="Consolas" w:cs="Consolas"/>
      <w:sz w:val="21"/>
      <w:szCs w:val="21"/>
      <w:lang w:val="en-US" w:eastAsia="en-US" w:bidi="ar-SA"/>
    </w:rPr>
  </w:style>
  <w:style w:type="paragraph" w:customStyle="1" w:styleId="StyleHeading1Before24pt">
    <w:name w:val="Style Heading 1 + Before:  24 pt"/>
    <w:basedOn w:val="Heading1"/>
    <w:rsid w:val="00A315C9"/>
    <w:pPr>
      <w:keepNext w:val="0"/>
      <w:pBdr>
        <w:top w:val="single" w:sz="4" w:space="12" w:color="auto"/>
      </w:pBdr>
      <w:spacing w:before="600" w:after="120" w:line="276" w:lineRule="auto"/>
    </w:pPr>
    <w:rPr>
      <w:rFonts w:ascii="Calibri" w:hAnsi="Calibri" w:cs="Calibri"/>
      <w:kern w:val="0"/>
      <w:sz w:val="28"/>
      <w:szCs w:val="28"/>
    </w:rPr>
  </w:style>
  <w:style w:type="paragraph" w:customStyle="1" w:styleId="PARAGRAPHNORMAL">
    <w:name w:val="PARAGRAPH NORMAL"/>
    <w:link w:val="PARAGRAPHNORMALChar"/>
    <w:rsid w:val="00A315C9"/>
    <w:pPr>
      <w:spacing w:after="200" w:line="260" w:lineRule="exact"/>
    </w:pPr>
    <w:rPr>
      <w:rFonts w:ascii="Tahoma" w:hAnsi="Tahoma" w:cs="Tahoma"/>
      <w:sz w:val="22"/>
      <w:szCs w:val="22"/>
    </w:rPr>
  </w:style>
  <w:style w:type="character" w:customStyle="1" w:styleId="PARAGRAPHNORMALChar">
    <w:name w:val="PARAGRAPH NORMAL Char"/>
    <w:basedOn w:val="DefaultParagraphFont"/>
    <w:link w:val="PARAGRAPHNORMAL"/>
    <w:rsid w:val="00A315C9"/>
    <w:rPr>
      <w:rFonts w:ascii="Tahoma" w:hAnsi="Tahoma" w:cs="Tahoma"/>
      <w:sz w:val="22"/>
      <w:szCs w:val="22"/>
      <w:lang w:val="en-US" w:eastAsia="en-US" w:bidi="ar-SA"/>
    </w:rPr>
  </w:style>
  <w:style w:type="paragraph" w:styleId="BalloonText">
    <w:name w:val="Balloon Text"/>
    <w:basedOn w:val="Normal"/>
    <w:semiHidden/>
    <w:rsid w:val="00F4135D"/>
    <w:rPr>
      <w:rFonts w:ascii="Tahoma" w:hAnsi="Tahoma" w:cs="Tahoma"/>
      <w:sz w:val="16"/>
      <w:szCs w:val="16"/>
    </w:rPr>
  </w:style>
  <w:style w:type="character" w:styleId="FollowedHyperlink">
    <w:name w:val="FollowedHyperlink"/>
    <w:basedOn w:val="DefaultParagraphFont"/>
    <w:rsid w:val="00806347"/>
    <w:rPr>
      <w:color w:val="800080"/>
      <w:u w:val="single"/>
    </w:rPr>
  </w:style>
  <w:style w:type="table" w:styleId="TableGrid">
    <w:name w:val="Table Grid"/>
    <w:basedOn w:val="TableNormal"/>
    <w:rsid w:val="00CA7D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4607E"/>
    <w:pPr>
      <w:ind w:left="720"/>
      <w:contextualSpacing/>
    </w:pPr>
  </w:style>
  <w:style w:type="character" w:styleId="BookTitle">
    <w:name w:val="Book Title"/>
    <w:basedOn w:val="DefaultParagraphFont"/>
    <w:qFormat/>
    <w:rsid w:val="00136F82"/>
    <w:rPr>
      <w:rFonts w:ascii="Cambria" w:hAnsi="Cambria" w:cs="Cambria"/>
      <w:smallCaps/>
      <w:color w:val="17365D"/>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CF5329"/>
    <w:rPr>
      <w:sz w:val="24"/>
      <w:szCs w:val="24"/>
    </w:rPr>
  </w:style>
  <w:style w:type="paragraph" w:styleId="Heading1">
    <w:name w:val="heading 1"/>
    <w:basedOn w:val="Normal"/>
    <w:next w:val="Normal"/>
    <w:qFormat/>
    <w:rsid w:val="00A315C9"/>
    <w:pPr>
      <w:keepNext/>
      <w:spacing w:before="240" w:after="60"/>
      <w:outlineLvl w:val="0"/>
    </w:pPr>
    <w:rPr>
      <w:rFonts w:ascii="Arial" w:hAnsi="Arial" w:cs="Arial"/>
      <w:b/>
      <w:bCs/>
      <w:kern w:val="32"/>
      <w:sz w:val="32"/>
      <w:szCs w:val="32"/>
    </w:rPr>
  </w:style>
  <w:style w:type="paragraph" w:styleId="Heading2">
    <w:name w:val="heading 2"/>
    <w:next w:val="Normal"/>
    <w:qFormat/>
    <w:rsid w:val="00A315C9"/>
    <w:pPr>
      <w:tabs>
        <w:tab w:val="left" w:pos="1440"/>
      </w:tabs>
      <w:ind w:left="1440" w:hanging="720"/>
      <w:outlineLvl w:val="1"/>
    </w:pPr>
    <w:rPr>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7076C"/>
    <w:pPr>
      <w:spacing w:before="100" w:beforeAutospacing="1" w:after="100" w:afterAutospacing="1"/>
    </w:pPr>
    <w:rPr>
      <w:rFonts w:ascii="Verdana" w:hAnsi="Verdana"/>
      <w:sz w:val="20"/>
      <w:szCs w:val="20"/>
    </w:rPr>
  </w:style>
  <w:style w:type="character" w:styleId="Hyperlink">
    <w:name w:val="Hyperlink"/>
    <w:basedOn w:val="DefaultParagraphFont"/>
    <w:rsid w:val="00112F87"/>
    <w:rPr>
      <w:color w:val="0000FF"/>
      <w:u w:val="single"/>
    </w:rPr>
  </w:style>
  <w:style w:type="paragraph" w:styleId="Header">
    <w:name w:val="header"/>
    <w:basedOn w:val="Normal"/>
    <w:rsid w:val="00A315C9"/>
    <w:pPr>
      <w:tabs>
        <w:tab w:val="center" w:pos="4320"/>
        <w:tab w:val="right" w:pos="8640"/>
      </w:tabs>
    </w:pPr>
  </w:style>
  <w:style w:type="paragraph" w:styleId="Footer">
    <w:name w:val="footer"/>
    <w:basedOn w:val="Normal"/>
    <w:rsid w:val="00A315C9"/>
    <w:pPr>
      <w:tabs>
        <w:tab w:val="center" w:pos="4320"/>
        <w:tab w:val="right" w:pos="8640"/>
      </w:tabs>
    </w:pPr>
  </w:style>
  <w:style w:type="paragraph" w:styleId="PlainText">
    <w:name w:val="Plain Text"/>
    <w:basedOn w:val="Normal"/>
    <w:link w:val="PlainTextChar"/>
    <w:rsid w:val="00A315C9"/>
    <w:rPr>
      <w:rFonts w:ascii="Consolas" w:hAnsi="Consolas" w:cs="Consolas"/>
      <w:sz w:val="21"/>
      <w:szCs w:val="21"/>
    </w:rPr>
  </w:style>
  <w:style w:type="character" w:customStyle="1" w:styleId="PlainTextChar">
    <w:name w:val="Plain Text Char"/>
    <w:basedOn w:val="DefaultParagraphFont"/>
    <w:link w:val="PlainText"/>
    <w:rsid w:val="00A315C9"/>
    <w:rPr>
      <w:rFonts w:ascii="Consolas" w:hAnsi="Consolas" w:cs="Consolas"/>
      <w:sz w:val="21"/>
      <w:szCs w:val="21"/>
      <w:lang w:val="en-US" w:eastAsia="en-US" w:bidi="ar-SA"/>
    </w:rPr>
  </w:style>
  <w:style w:type="paragraph" w:customStyle="1" w:styleId="StyleHeading1Before24pt">
    <w:name w:val="Style Heading 1 + Before:  24 pt"/>
    <w:basedOn w:val="Heading1"/>
    <w:rsid w:val="00A315C9"/>
    <w:pPr>
      <w:keepNext w:val="0"/>
      <w:pBdr>
        <w:top w:val="single" w:sz="4" w:space="12" w:color="auto"/>
      </w:pBdr>
      <w:spacing w:before="600" w:after="120" w:line="276" w:lineRule="auto"/>
    </w:pPr>
    <w:rPr>
      <w:rFonts w:ascii="Calibri" w:hAnsi="Calibri" w:cs="Calibri"/>
      <w:kern w:val="0"/>
      <w:sz w:val="28"/>
      <w:szCs w:val="28"/>
    </w:rPr>
  </w:style>
  <w:style w:type="paragraph" w:customStyle="1" w:styleId="PARAGRAPHNORMAL">
    <w:name w:val="PARAGRAPH NORMAL"/>
    <w:link w:val="PARAGRAPHNORMALChar"/>
    <w:rsid w:val="00A315C9"/>
    <w:pPr>
      <w:spacing w:after="200" w:line="260" w:lineRule="exact"/>
    </w:pPr>
    <w:rPr>
      <w:rFonts w:ascii="Tahoma" w:hAnsi="Tahoma" w:cs="Tahoma"/>
      <w:sz w:val="22"/>
      <w:szCs w:val="22"/>
    </w:rPr>
  </w:style>
  <w:style w:type="character" w:customStyle="1" w:styleId="PARAGRAPHNORMALChar">
    <w:name w:val="PARAGRAPH NORMAL Char"/>
    <w:basedOn w:val="DefaultParagraphFont"/>
    <w:link w:val="PARAGRAPHNORMAL"/>
    <w:rsid w:val="00A315C9"/>
    <w:rPr>
      <w:rFonts w:ascii="Tahoma" w:hAnsi="Tahoma" w:cs="Tahoma"/>
      <w:sz w:val="22"/>
      <w:szCs w:val="22"/>
      <w:lang w:val="en-US" w:eastAsia="en-US" w:bidi="ar-SA"/>
    </w:rPr>
  </w:style>
  <w:style w:type="paragraph" w:styleId="BalloonText">
    <w:name w:val="Balloon Text"/>
    <w:basedOn w:val="Normal"/>
    <w:semiHidden/>
    <w:rsid w:val="00F4135D"/>
    <w:rPr>
      <w:rFonts w:ascii="Tahoma" w:hAnsi="Tahoma" w:cs="Tahoma"/>
      <w:sz w:val="16"/>
      <w:szCs w:val="16"/>
    </w:rPr>
  </w:style>
  <w:style w:type="character" w:styleId="FollowedHyperlink">
    <w:name w:val="FollowedHyperlink"/>
    <w:basedOn w:val="DefaultParagraphFont"/>
    <w:rsid w:val="00806347"/>
    <w:rPr>
      <w:color w:val="800080"/>
      <w:u w:val="single"/>
    </w:rPr>
  </w:style>
  <w:style w:type="table" w:styleId="TableGrid">
    <w:name w:val="Table Grid"/>
    <w:basedOn w:val="TableNormal"/>
    <w:rsid w:val="00CA7D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4607E"/>
    <w:pPr>
      <w:ind w:left="720"/>
      <w:contextualSpacing/>
    </w:pPr>
  </w:style>
  <w:style w:type="character" w:styleId="BookTitle">
    <w:name w:val="Book Title"/>
    <w:basedOn w:val="DefaultParagraphFont"/>
    <w:qFormat/>
    <w:rsid w:val="00136F82"/>
    <w:rPr>
      <w:rFonts w:ascii="Cambria" w:hAnsi="Cambria" w:cs="Cambria"/>
      <w:smallCaps/>
      <w:color w:val="17365D"/>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136659">
      <w:bodyDiv w:val="1"/>
      <w:marLeft w:val="0"/>
      <w:marRight w:val="0"/>
      <w:marTop w:val="0"/>
      <w:marBottom w:val="0"/>
      <w:divBdr>
        <w:top w:val="none" w:sz="0" w:space="0" w:color="auto"/>
        <w:left w:val="none" w:sz="0" w:space="0" w:color="auto"/>
        <w:bottom w:val="none" w:sz="0" w:space="0" w:color="auto"/>
        <w:right w:val="none" w:sz="0" w:space="0" w:color="auto"/>
      </w:divBdr>
    </w:div>
    <w:div w:id="245266499">
      <w:bodyDiv w:val="1"/>
      <w:marLeft w:val="0"/>
      <w:marRight w:val="0"/>
      <w:marTop w:val="0"/>
      <w:marBottom w:val="0"/>
      <w:divBdr>
        <w:top w:val="none" w:sz="0" w:space="0" w:color="auto"/>
        <w:left w:val="none" w:sz="0" w:space="0" w:color="auto"/>
        <w:bottom w:val="none" w:sz="0" w:space="0" w:color="auto"/>
        <w:right w:val="none" w:sz="0" w:space="0" w:color="auto"/>
      </w:divBdr>
      <w:divsChild>
        <w:div w:id="196696501">
          <w:marLeft w:val="200"/>
          <w:marRight w:val="200"/>
          <w:marTop w:val="0"/>
          <w:marBottom w:val="0"/>
          <w:divBdr>
            <w:top w:val="none" w:sz="0" w:space="0" w:color="auto"/>
            <w:left w:val="none" w:sz="0" w:space="0" w:color="auto"/>
            <w:bottom w:val="none" w:sz="0" w:space="0" w:color="auto"/>
            <w:right w:val="none" w:sz="0" w:space="0" w:color="auto"/>
          </w:divBdr>
          <w:divsChild>
            <w:div w:id="1965115104">
              <w:marLeft w:val="200"/>
              <w:marRight w:val="200"/>
              <w:marTop w:val="0"/>
              <w:marBottom w:val="0"/>
              <w:divBdr>
                <w:top w:val="dotted" w:sz="8" w:space="0" w:color="auto"/>
                <w:left w:val="dotted" w:sz="8" w:space="6" w:color="auto"/>
                <w:bottom w:val="dotted" w:sz="8" w:space="0" w:color="auto"/>
                <w:right w:val="dotted" w:sz="8" w:space="6" w:color="auto"/>
              </w:divBdr>
              <w:divsChild>
                <w:div w:id="18153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03735">
      <w:bodyDiv w:val="1"/>
      <w:marLeft w:val="0"/>
      <w:marRight w:val="0"/>
      <w:marTop w:val="0"/>
      <w:marBottom w:val="0"/>
      <w:divBdr>
        <w:top w:val="none" w:sz="0" w:space="0" w:color="auto"/>
        <w:left w:val="none" w:sz="0" w:space="0" w:color="auto"/>
        <w:bottom w:val="none" w:sz="0" w:space="0" w:color="auto"/>
        <w:right w:val="none" w:sz="0" w:space="0" w:color="auto"/>
      </w:divBdr>
    </w:div>
    <w:div w:id="1035034718">
      <w:bodyDiv w:val="1"/>
      <w:marLeft w:val="0"/>
      <w:marRight w:val="0"/>
      <w:marTop w:val="0"/>
      <w:marBottom w:val="0"/>
      <w:divBdr>
        <w:top w:val="none" w:sz="0" w:space="0" w:color="auto"/>
        <w:left w:val="none" w:sz="0" w:space="0" w:color="auto"/>
        <w:bottom w:val="none" w:sz="0" w:space="0" w:color="auto"/>
        <w:right w:val="none" w:sz="0" w:space="0" w:color="auto"/>
      </w:divBdr>
    </w:div>
    <w:div w:id="1146238684">
      <w:bodyDiv w:val="1"/>
      <w:marLeft w:val="0"/>
      <w:marRight w:val="0"/>
      <w:marTop w:val="0"/>
      <w:marBottom w:val="0"/>
      <w:divBdr>
        <w:top w:val="none" w:sz="0" w:space="0" w:color="auto"/>
        <w:left w:val="none" w:sz="0" w:space="0" w:color="auto"/>
        <w:bottom w:val="none" w:sz="0" w:space="0" w:color="auto"/>
        <w:right w:val="none" w:sz="0" w:space="0" w:color="auto"/>
      </w:divBdr>
    </w:div>
    <w:div w:id="1241522010">
      <w:bodyDiv w:val="1"/>
      <w:marLeft w:val="0"/>
      <w:marRight w:val="0"/>
      <w:marTop w:val="0"/>
      <w:marBottom w:val="0"/>
      <w:divBdr>
        <w:top w:val="none" w:sz="0" w:space="0" w:color="auto"/>
        <w:left w:val="none" w:sz="0" w:space="0" w:color="auto"/>
        <w:bottom w:val="none" w:sz="0" w:space="0" w:color="auto"/>
        <w:right w:val="none" w:sz="0" w:space="0" w:color="auto"/>
      </w:divBdr>
    </w:div>
    <w:div w:id="1499034427">
      <w:bodyDiv w:val="1"/>
      <w:marLeft w:val="0"/>
      <w:marRight w:val="0"/>
      <w:marTop w:val="0"/>
      <w:marBottom w:val="0"/>
      <w:divBdr>
        <w:top w:val="none" w:sz="0" w:space="0" w:color="auto"/>
        <w:left w:val="none" w:sz="0" w:space="0" w:color="auto"/>
        <w:bottom w:val="none" w:sz="0" w:space="0" w:color="auto"/>
        <w:right w:val="none" w:sz="0" w:space="0" w:color="auto"/>
      </w:divBdr>
    </w:div>
    <w:div w:id="1534463918">
      <w:bodyDiv w:val="1"/>
      <w:marLeft w:val="0"/>
      <w:marRight w:val="0"/>
      <w:marTop w:val="0"/>
      <w:marBottom w:val="0"/>
      <w:divBdr>
        <w:top w:val="none" w:sz="0" w:space="0" w:color="auto"/>
        <w:left w:val="none" w:sz="0" w:space="0" w:color="auto"/>
        <w:bottom w:val="none" w:sz="0" w:space="0" w:color="auto"/>
        <w:right w:val="none" w:sz="0" w:space="0" w:color="auto"/>
      </w:divBdr>
    </w:div>
    <w:div w:id="1704480041">
      <w:bodyDiv w:val="1"/>
      <w:marLeft w:val="0"/>
      <w:marRight w:val="0"/>
      <w:marTop w:val="0"/>
      <w:marBottom w:val="0"/>
      <w:divBdr>
        <w:top w:val="none" w:sz="0" w:space="0" w:color="auto"/>
        <w:left w:val="none" w:sz="0" w:space="0" w:color="auto"/>
        <w:bottom w:val="none" w:sz="0" w:space="0" w:color="auto"/>
        <w:right w:val="none" w:sz="0" w:space="0" w:color="auto"/>
      </w:divBdr>
    </w:div>
    <w:div w:id="1729456165">
      <w:bodyDiv w:val="1"/>
      <w:marLeft w:val="0"/>
      <w:marRight w:val="0"/>
      <w:marTop w:val="0"/>
      <w:marBottom w:val="0"/>
      <w:divBdr>
        <w:top w:val="none" w:sz="0" w:space="0" w:color="auto"/>
        <w:left w:val="none" w:sz="0" w:space="0" w:color="auto"/>
        <w:bottom w:val="none" w:sz="0" w:space="0" w:color="auto"/>
        <w:right w:val="none" w:sz="0" w:space="0" w:color="auto"/>
      </w:divBdr>
    </w:div>
    <w:div w:id="1888566464">
      <w:bodyDiv w:val="1"/>
      <w:marLeft w:val="0"/>
      <w:marRight w:val="0"/>
      <w:marTop w:val="0"/>
      <w:marBottom w:val="0"/>
      <w:divBdr>
        <w:top w:val="none" w:sz="0" w:space="0" w:color="auto"/>
        <w:left w:val="none" w:sz="0" w:space="0" w:color="auto"/>
        <w:bottom w:val="none" w:sz="0" w:space="0" w:color="auto"/>
        <w:right w:val="none" w:sz="0" w:space="0" w:color="auto"/>
      </w:divBdr>
    </w:div>
    <w:div w:id="190251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mailto:Bernard.Izevbekhai@state.mn.u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[City of Shoreview Compiled Data.xlsx]IRI Charts!PivotTable1</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s>
    <c:plotArea>
      <c:layout/>
      <c:barChart>
        <c:barDir val="col"/>
        <c:grouping val="clustered"/>
        <c:varyColors val="0"/>
        <c:ser>
          <c:idx val="0"/>
          <c:order val="0"/>
          <c:tx>
            <c:strRef>
              <c:f>'IRI Charts'!$B$1:$B$2</c:f>
              <c:strCache>
                <c:ptCount val="1"/>
                <c:pt idx="0">
                  <c:v>5/17/2009</c:v>
                </c:pt>
              </c:strCache>
            </c:strRef>
          </c:tx>
          <c:invertIfNegative val="0"/>
          <c:cat>
            <c:strRef>
              <c:f>'IRI Charts'!$A$3:$A$7</c:f>
              <c:strCache>
                <c:ptCount val="4"/>
                <c:pt idx="0">
                  <c:v>Edgewater-Soo</c:v>
                </c:pt>
                <c:pt idx="1">
                  <c:v>Edgewater-Soo </c:v>
                </c:pt>
                <c:pt idx="2">
                  <c:v>Owasso</c:v>
                </c:pt>
                <c:pt idx="3">
                  <c:v>Woodbridge</c:v>
                </c:pt>
              </c:strCache>
            </c:strRef>
          </c:cat>
          <c:val>
            <c:numRef>
              <c:f>'IRI Charts'!$B$3:$B$7</c:f>
              <c:numCache>
                <c:formatCode>General</c:formatCode>
                <c:ptCount val="4"/>
                <c:pt idx="1">
                  <c:v>199.11250000000001</c:v>
                </c:pt>
                <c:pt idx="2">
                  <c:v>209.85999999999999</c:v>
                </c:pt>
                <c:pt idx="3">
                  <c:v>210.72499999999999</c:v>
                </c:pt>
              </c:numCache>
            </c:numRef>
          </c:val>
        </c:ser>
        <c:ser>
          <c:idx val="1"/>
          <c:order val="1"/>
          <c:tx>
            <c:strRef>
              <c:f>'IRI Charts'!$C$1:$C$2</c:f>
              <c:strCache>
                <c:ptCount val="1"/>
                <c:pt idx="0">
                  <c:v>5/17/2010</c:v>
                </c:pt>
              </c:strCache>
            </c:strRef>
          </c:tx>
          <c:invertIfNegative val="0"/>
          <c:cat>
            <c:strRef>
              <c:f>'IRI Charts'!$A$3:$A$7</c:f>
              <c:strCache>
                <c:ptCount val="4"/>
                <c:pt idx="0">
                  <c:v>Edgewater-Soo</c:v>
                </c:pt>
                <c:pt idx="1">
                  <c:v>Edgewater-Soo </c:v>
                </c:pt>
                <c:pt idx="2">
                  <c:v>Owasso</c:v>
                </c:pt>
                <c:pt idx="3">
                  <c:v>Woodbridge</c:v>
                </c:pt>
              </c:strCache>
            </c:strRef>
          </c:cat>
          <c:val>
            <c:numRef>
              <c:f>'IRI Charts'!$C$3:$C$7</c:f>
              <c:numCache>
                <c:formatCode>General</c:formatCode>
                <c:ptCount val="4"/>
                <c:pt idx="1">
                  <c:v>206.83750000000001</c:v>
                </c:pt>
                <c:pt idx="2">
                  <c:v>231.15714285714287</c:v>
                </c:pt>
                <c:pt idx="3">
                  <c:v>215.85714285714286</c:v>
                </c:pt>
              </c:numCache>
            </c:numRef>
          </c:val>
        </c:ser>
        <c:ser>
          <c:idx val="2"/>
          <c:order val="2"/>
          <c:tx>
            <c:strRef>
              <c:f>'IRI Charts'!$D$1:$D$2</c:f>
              <c:strCache>
                <c:ptCount val="1"/>
                <c:pt idx="0">
                  <c:v>5/18/2012</c:v>
                </c:pt>
              </c:strCache>
            </c:strRef>
          </c:tx>
          <c:invertIfNegative val="0"/>
          <c:cat>
            <c:strRef>
              <c:f>'IRI Charts'!$A$3:$A$7</c:f>
              <c:strCache>
                <c:ptCount val="4"/>
                <c:pt idx="0">
                  <c:v>Edgewater-Soo</c:v>
                </c:pt>
                <c:pt idx="1">
                  <c:v>Edgewater-Soo </c:v>
                </c:pt>
                <c:pt idx="2">
                  <c:v>Owasso</c:v>
                </c:pt>
                <c:pt idx="3">
                  <c:v>Woodbridge</c:v>
                </c:pt>
              </c:strCache>
            </c:strRef>
          </c:cat>
          <c:val>
            <c:numRef>
              <c:f>'IRI Charts'!$D$3:$D$7</c:f>
              <c:numCache>
                <c:formatCode>General</c:formatCode>
                <c:ptCount val="4"/>
                <c:pt idx="2">
                  <c:v>232.80202499999999</c:v>
                </c:pt>
                <c:pt idx="3">
                  <c:v>224.65333749999999</c:v>
                </c:pt>
              </c:numCache>
            </c:numRef>
          </c:val>
        </c:ser>
        <c:ser>
          <c:idx val="3"/>
          <c:order val="3"/>
          <c:tx>
            <c:strRef>
              <c:f>'IRI Charts'!$E$1:$E$2</c:f>
              <c:strCache>
                <c:ptCount val="1"/>
                <c:pt idx="0">
                  <c:v>5/31/2012</c:v>
                </c:pt>
              </c:strCache>
            </c:strRef>
          </c:tx>
          <c:invertIfNegative val="0"/>
          <c:cat>
            <c:strRef>
              <c:f>'IRI Charts'!$A$3:$A$7</c:f>
              <c:strCache>
                <c:ptCount val="4"/>
                <c:pt idx="0">
                  <c:v>Edgewater-Soo</c:v>
                </c:pt>
                <c:pt idx="1">
                  <c:v>Edgewater-Soo </c:v>
                </c:pt>
                <c:pt idx="2">
                  <c:v>Owasso</c:v>
                </c:pt>
                <c:pt idx="3">
                  <c:v>Woodbridge</c:v>
                </c:pt>
              </c:strCache>
            </c:strRef>
          </c:cat>
          <c:val>
            <c:numRef>
              <c:f>'IRI Charts'!$E$3:$E$7</c:f>
              <c:numCache>
                <c:formatCode>General</c:formatCode>
                <c:ptCount val="4"/>
                <c:pt idx="0">
                  <c:v>207.42817500000001</c:v>
                </c:pt>
              </c:numCache>
            </c:numRef>
          </c:val>
        </c:ser>
        <c:dLbls>
          <c:showLegendKey val="0"/>
          <c:showVal val="0"/>
          <c:showCatName val="0"/>
          <c:showSerName val="0"/>
          <c:showPercent val="0"/>
          <c:showBubbleSize val="0"/>
        </c:dLbls>
        <c:gapWidth val="150"/>
        <c:axId val="34517376"/>
        <c:axId val="34519296"/>
      </c:barChart>
      <c:catAx>
        <c:axId val="34517376"/>
        <c:scaling>
          <c:orientation val="minMax"/>
        </c:scaling>
        <c:delete val="0"/>
        <c:axPos val="b"/>
        <c:title>
          <c:tx>
            <c:rich>
              <a:bodyPr/>
              <a:lstStyle/>
              <a:p>
                <a:pPr>
                  <a:defRPr sz="1200"/>
                </a:pPr>
                <a:r>
                  <a:rPr lang="en-US" sz="1200"/>
                  <a:t>Road Section</a:t>
                </a:r>
              </a:p>
            </c:rich>
          </c:tx>
          <c:layout/>
          <c:overlay val="0"/>
        </c:title>
        <c:majorTickMark val="out"/>
        <c:minorTickMark val="none"/>
        <c:tickLblPos val="nextTo"/>
        <c:crossAx val="34519296"/>
        <c:crosses val="autoZero"/>
        <c:auto val="1"/>
        <c:lblAlgn val="ctr"/>
        <c:lblOffset val="100"/>
        <c:noMultiLvlLbl val="0"/>
      </c:catAx>
      <c:valAx>
        <c:axId val="34519296"/>
        <c:scaling>
          <c:orientation val="minMax"/>
        </c:scaling>
        <c:delete val="0"/>
        <c:axPos val="l"/>
        <c:majorGridlines/>
        <c:title>
          <c:tx>
            <c:rich>
              <a:bodyPr rot="-5400000" vert="horz"/>
              <a:lstStyle/>
              <a:p>
                <a:pPr>
                  <a:defRPr b="1"/>
                </a:pPr>
                <a:r>
                  <a:rPr lang="en-US" b="1"/>
                  <a:t>Average TriODS IRI[in/mi]</a:t>
                </a:r>
              </a:p>
            </c:rich>
          </c:tx>
          <c:layout/>
          <c:overlay val="0"/>
        </c:title>
        <c:numFmt formatCode="General" sourceLinked="1"/>
        <c:majorTickMark val="out"/>
        <c:minorTickMark val="none"/>
        <c:tickLblPos val="nextTo"/>
        <c:crossAx val="34517376"/>
        <c:crosses val="autoZero"/>
        <c:crossBetween val="between"/>
      </c:valAx>
    </c:plotArea>
    <c:legend>
      <c:legendPos val="r"/>
      <c:layout/>
      <c:overlay val="0"/>
    </c:legend>
    <c:plotVisOnly val="1"/>
    <c:dispBlanksAs val="span"/>
    <c:showDLblsOverMax val="0"/>
  </c:chart>
  <c:spPr>
    <a:ln w="15875"/>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[City of Shoreview Compiled Data.xlsx]SA Chart!PivotTable2</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s>
    <c:plotArea>
      <c:layout>
        <c:manualLayout>
          <c:layoutTarget val="inner"/>
          <c:xMode val="edge"/>
          <c:yMode val="edge"/>
          <c:x val="0.15514516381654825"/>
          <c:y val="4.0572368213009517E-2"/>
          <c:w val="0.65538326696504712"/>
          <c:h val="0.62713350930701717"/>
        </c:manualLayout>
      </c:layout>
      <c:lineChart>
        <c:grouping val="standard"/>
        <c:varyColors val="0"/>
        <c:ser>
          <c:idx val="0"/>
          <c:order val="0"/>
          <c:tx>
            <c:strRef>
              <c:f>'SA Chart'!$B$3:$B$4</c:f>
              <c:strCache>
                <c:ptCount val="1"/>
                <c:pt idx="0">
                  <c:v>Edge 1</c:v>
                </c:pt>
              </c:strCache>
            </c:strRef>
          </c:tx>
          <c:cat>
            <c:strRef>
              <c:f>'SA Chart'!$A$5:$A$9</c:f>
              <c:strCache>
                <c:ptCount val="4"/>
                <c:pt idx="0">
                  <c:v>9/10/2009</c:v>
                </c:pt>
                <c:pt idx="1">
                  <c:v>8/18/2010</c:v>
                </c:pt>
                <c:pt idx="2">
                  <c:v>9/3/2010</c:v>
                </c:pt>
                <c:pt idx="3">
                  <c:v>5/17/2011</c:v>
                </c:pt>
              </c:strCache>
            </c:strRef>
          </c:cat>
          <c:val>
            <c:numRef>
              <c:f>'SA Chart'!$B$5:$B$9</c:f>
              <c:numCache>
                <c:formatCode>General</c:formatCode>
                <c:ptCount val="4"/>
                <c:pt idx="0">
                  <c:v>0.53249999999999997</c:v>
                </c:pt>
                <c:pt idx="1">
                  <c:v>0.28000000000000003</c:v>
                </c:pt>
                <c:pt idx="2">
                  <c:v>0.28000000000000003</c:v>
                </c:pt>
                <c:pt idx="3">
                  <c:v>0.25601850000000004</c:v>
                </c:pt>
              </c:numCache>
            </c:numRef>
          </c:val>
          <c:smooth val="0"/>
        </c:ser>
        <c:ser>
          <c:idx val="1"/>
          <c:order val="1"/>
          <c:tx>
            <c:strRef>
              <c:f>'SA Chart'!$C$3:$C$4</c:f>
              <c:strCache>
                <c:ptCount val="1"/>
                <c:pt idx="0">
                  <c:v>Edge 2</c:v>
                </c:pt>
              </c:strCache>
            </c:strRef>
          </c:tx>
          <c:cat>
            <c:strRef>
              <c:f>'SA Chart'!$A$5:$A$9</c:f>
              <c:strCache>
                <c:ptCount val="4"/>
                <c:pt idx="0">
                  <c:v>9/10/2009</c:v>
                </c:pt>
                <c:pt idx="1">
                  <c:v>8/18/2010</c:v>
                </c:pt>
                <c:pt idx="2">
                  <c:v>9/3/2010</c:v>
                </c:pt>
                <c:pt idx="3">
                  <c:v>5/17/2011</c:v>
                </c:pt>
              </c:strCache>
            </c:strRef>
          </c:cat>
          <c:val>
            <c:numRef>
              <c:f>'SA Chart'!$C$5:$C$9</c:f>
              <c:numCache>
                <c:formatCode>General</c:formatCode>
                <c:ptCount val="4"/>
                <c:pt idx="0">
                  <c:v>0.26500000000000001</c:v>
                </c:pt>
                <c:pt idx="1">
                  <c:v>0.11</c:v>
                </c:pt>
                <c:pt idx="2">
                  <c:v>0.11</c:v>
                </c:pt>
                <c:pt idx="3">
                  <c:v>0.12837665000000001</c:v>
                </c:pt>
              </c:numCache>
            </c:numRef>
          </c:val>
          <c:smooth val="0"/>
        </c:ser>
        <c:ser>
          <c:idx val="2"/>
          <c:order val="2"/>
          <c:tx>
            <c:strRef>
              <c:f>'SA Chart'!$D$3:$D$4</c:f>
              <c:strCache>
                <c:ptCount val="1"/>
                <c:pt idx="0">
                  <c:v>Jerrold 1</c:v>
                </c:pt>
              </c:strCache>
            </c:strRef>
          </c:tx>
          <c:cat>
            <c:strRef>
              <c:f>'SA Chart'!$A$5:$A$9</c:f>
              <c:strCache>
                <c:ptCount val="4"/>
                <c:pt idx="0">
                  <c:v>9/10/2009</c:v>
                </c:pt>
                <c:pt idx="1">
                  <c:v>8/18/2010</c:v>
                </c:pt>
                <c:pt idx="2">
                  <c:v>9/3/2010</c:v>
                </c:pt>
                <c:pt idx="3">
                  <c:v>5/17/2011</c:v>
                </c:pt>
              </c:strCache>
            </c:strRef>
          </c:cat>
          <c:val>
            <c:numRef>
              <c:f>'SA Chart'!$D$5:$D$9</c:f>
              <c:numCache>
                <c:formatCode>General</c:formatCode>
                <c:ptCount val="4"/>
                <c:pt idx="1">
                  <c:v>0.08</c:v>
                </c:pt>
                <c:pt idx="2">
                  <c:v>0.08</c:v>
                </c:pt>
                <c:pt idx="3">
                  <c:v>0.11538869</c:v>
                </c:pt>
              </c:numCache>
            </c:numRef>
          </c:val>
          <c:smooth val="0"/>
        </c:ser>
        <c:ser>
          <c:idx val="3"/>
          <c:order val="3"/>
          <c:tx>
            <c:strRef>
              <c:f>'SA Chart'!$E$3:$E$4</c:f>
              <c:strCache>
                <c:ptCount val="1"/>
                <c:pt idx="0">
                  <c:v>Mailbox 1</c:v>
                </c:pt>
              </c:strCache>
            </c:strRef>
          </c:tx>
          <c:cat>
            <c:strRef>
              <c:f>'SA Chart'!$A$5:$A$9</c:f>
              <c:strCache>
                <c:ptCount val="4"/>
                <c:pt idx="0">
                  <c:v>9/10/2009</c:v>
                </c:pt>
                <c:pt idx="1">
                  <c:v>8/18/2010</c:v>
                </c:pt>
                <c:pt idx="2">
                  <c:v>9/3/2010</c:v>
                </c:pt>
                <c:pt idx="3">
                  <c:v>5/17/2011</c:v>
                </c:pt>
              </c:strCache>
            </c:strRef>
          </c:cat>
          <c:val>
            <c:numRef>
              <c:f>'SA Chart'!$E$5:$E$9</c:f>
              <c:numCache>
                <c:formatCode>General</c:formatCode>
                <c:ptCount val="4"/>
                <c:pt idx="1">
                  <c:v>0.20500000000000002</c:v>
                </c:pt>
              </c:numCache>
            </c:numRef>
          </c:val>
          <c:smooth val="0"/>
        </c:ser>
        <c:ser>
          <c:idx val="4"/>
          <c:order val="4"/>
          <c:tx>
            <c:strRef>
              <c:f>'SA Chart'!$F$3:$F$4</c:f>
              <c:strCache>
                <c:ptCount val="1"/>
                <c:pt idx="0">
                  <c:v>Owasso 1</c:v>
                </c:pt>
              </c:strCache>
            </c:strRef>
          </c:tx>
          <c:cat>
            <c:strRef>
              <c:f>'SA Chart'!$A$5:$A$9</c:f>
              <c:strCache>
                <c:ptCount val="4"/>
                <c:pt idx="0">
                  <c:v>9/10/2009</c:v>
                </c:pt>
                <c:pt idx="1">
                  <c:v>8/18/2010</c:v>
                </c:pt>
                <c:pt idx="2">
                  <c:v>9/3/2010</c:v>
                </c:pt>
                <c:pt idx="3">
                  <c:v>5/17/2011</c:v>
                </c:pt>
              </c:strCache>
            </c:strRef>
          </c:cat>
          <c:val>
            <c:numRef>
              <c:f>'SA Chart'!$F$5:$F$9</c:f>
              <c:numCache>
                <c:formatCode>General</c:formatCode>
                <c:ptCount val="4"/>
                <c:pt idx="0">
                  <c:v>0.73250000000000004</c:v>
                </c:pt>
                <c:pt idx="1">
                  <c:v>0.65999999999999992</c:v>
                </c:pt>
                <c:pt idx="2">
                  <c:v>0.65999999999999992</c:v>
                </c:pt>
                <c:pt idx="3">
                  <c:v>0.52870679999999992</c:v>
                </c:pt>
              </c:numCache>
            </c:numRef>
          </c:val>
          <c:smooth val="0"/>
        </c:ser>
        <c:ser>
          <c:idx val="5"/>
          <c:order val="5"/>
          <c:tx>
            <c:strRef>
              <c:f>'SA Chart'!$G$3:$G$4</c:f>
              <c:strCache>
                <c:ptCount val="1"/>
                <c:pt idx="0">
                  <c:v>Owasso 2</c:v>
                </c:pt>
              </c:strCache>
            </c:strRef>
          </c:tx>
          <c:cat>
            <c:strRef>
              <c:f>'SA Chart'!$A$5:$A$9</c:f>
              <c:strCache>
                <c:ptCount val="4"/>
                <c:pt idx="0">
                  <c:v>9/10/2009</c:v>
                </c:pt>
                <c:pt idx="1">
                  <c:v>8/18/2010</c:v>
                </c:pt>
                <c:pt idx="2">
                  <c:v>9/3/2010</c:v>
                </c:pt>
                <c:pt idx="3">
                  <c:v>5/17/2011</c:v>
                </c:pt>
              </c:strCache>
            </c:strRef>
          </c:cat>
          <c:val>
            <c:numRef>
              <c:f>'SA Chart'!$G$5:$G$9</c:f>
              <c:numCache>
                <c:formatCode>General</c:formatCode>
                <c:ptCount val="4"/>
                <c:pt idx="0">
                  <c:v>0.61</c:v>
                </c:pt>
                <c:pt idx="1">
                  <c:v>0.40500000000000003</c:v>
                </c:pt>
                <c:pt idx="2">
                  <c:v>0.29499999999999998</c:v>
                </c:pt>
                <c:pt idx="3">
                  <c:v>0.31326447499999999</c:v>
                </c:pt>
              </c:numCache>
            </c:numRef>
          </c:val>
          <c:smooth val="0"/>
        </c:ser>
        <c:ser>
          <c:idx val="6"/>
          <c:order val="6"/>
          <c:tx>
            <c:strRef>
              <c:f>'SA Chart'!$H$3:$H$4</c:f>
              <c:strCache>
                <c:ptCount val="1"/>
                <c:pt idx="0">
                  <c:v>Soo 1</c:v>
                </c:pt>
              </c:strCache>
            </c:strRef>
          </c:tx>
          <c:cat>
            <c:strRef>
              <c:f>'SA Chart'!$A$5:$A$9</c:f>
              <c:strCache>
                <c:ptCount val="4"/>
                <c:pt idx="0">
                  <c:v>9/10/2009</c:v>
                </c:pt>
                <c:pt idx="1">
                  <c:v>8/18/2010</c:v>
                </c:pt>
                <c:pt idx="2">
                  <c:v>9/3/2010</c:v>
                </c:pt>
                <c:pt idx="3">
                  <c:v>5/17/2011</c:v>
                </c:pt>
              </c:strCache>
            </c:strRef>
          </c:cat>
          <c:val>
            <c:numRef>
              <c:f>'SA Chart'!$H$5:$H$9</c:f>
              <c:numCache>
                <c:formatCode>General</c:formatCode>
                <c:ptCount val="4"/>
                <c:pt idx="0">
                  <c:v>0.65500000000000003</c:v>
                </c:pt>
                <c:pt idx="1">
                  <c:v>0.61250000000000004</c:v>
                </c:pt>
                <c:pt idx="2">
                  <c:v>0.61250000000000004</c:v>
                </c:pt>
                <c:pt idx="3">
                  <c:v>0.49501362500000001</c:v>
                </c:pt>
              </c:numCache>
            </c:numRef>
          </c:val>
          <c:smooth val="0"/>
        </c:ser>
        <c:ser>
          <c:idx val="7"/>
          <c:order val="7"/>
          <c:tx>
            <c:strRef>
              <c:f>'SA Chart'!$I$3:$I$4</c:f>
              <c:strCache>
                <c:ptCount val="1"/>
                <c:pt idx="0">
                  <c:v>Soo 2</c:v>
                </c:pt>
              </c:strCache>
            </c:strRef>
          </c:tx>
          <c:cat>
            <c:strRef>
              <c:f>'SA Chart'!$A$5:$A$9</c:f>
              <c:strCache>
                <c:ptCount val="4"/>
                <c:pt idx="0">
                  <c:v>9/10/2009</c:v>
                </c:pt>
                <c:pt idx="1">
                  <c:v>8/18/2010</c:v>
                </c:pt>
                <c:pt idx="2">
                  <c:v>9/3/2010</c:v>
                </c:pt>
                <c:pt idx="3">
                  <c:v>5/17/2011</c:v>
                </c:pt>
              </c:strCache>
            </c:strRef>
          </c:cat>
          <c:val>
            <c:numRef>
              <c:f>'SA Chart'!$I$5:$I$9</c:f>
              <c:numCache>
                <c:formatCode>General</c:formatCode>
                <c:ptCount val="4"/>
                <c:pt idx="0">
                  <c:v>0.60250000000000004</c:v>
                </c:pt>
                <c:pt idx="1">
                  <c:v>0.54749999999999999</c:v>
                </c:pt>
                <c:pt idx="2">
                  <c:v>0.54749999999999999</c:v>
                </c:pt>
                <c:pt idx="3">
                  <c:v>0.44928079999999998</c:v>
                </c:pt>
              </c:numCache>
            </c:numRef>
          </c:val>
          <c:smooth val="0"/>
        </c:ser>
        <c:ser>
          <c:idx val="8"/>
          <c:order val="8"/>
          <c:tx>
            <c:strRef>
              <c:f>'SA Chart'!$J$3:$J$4</c:f>
              <c:strCache>
                <c:ptCount val="1"/>
                <c:pt idx="0">
                  <c:v>Wood 1</c:v>
                </c:pt>
              </c:strCache>
            </c:strRef>
          </c:tx>
          <c:cat>
            <c:strRef>
              <c:f>'SA Chart'!$A$5:$A$9</c:f>
              <c:strCache>
                <c:ptCount val="4"/>
                <c:pt idx="0">
                  <c:v>9/10/2009</c:v>
                </c:pt>
                <c:pt idx="1">
                  <c:v>8/18/2010</c:v>
                </c:pt>
                <c:pt idx="2">
                  <c:v>9/3/2010</c:v>
                </c:pt>
                <c:pt idx="3">
                  <c:v>5/17/2011</c:v>
                </c:pt>
              </c:strCache>
            </c:strRef>
          </c:cat>
          <c:val>
            <c:numRef>
              <c:f>'SA Chart'!$J$5:$J$9</c:f>
              <c:numCache>
                <c:formatCode>General</c:formatCode>
                <c:ptCount val="4"/>
                <c:pt idx="0">
                  <c:v>0.6399999999999999</c:v>
                </c:pt>
                <c:pt idx="1">
                  <c:v>0.59499999999999997</c:v>
                </c:pt>
                <c:pt idx="2">
                  <c:v>0.59499999999999997</c:v>
                </c:pt>
                <c:pt idx="3">
                  <c:v>0.46012852500000001</c:v>
                </c:pt>
              </c:numCache>
            </c:numRef>
          </c:val>
          <c:smooth val="0"/>
        </c:ser>
        <c:ser>
          <c:idx val="9"/>
          <c:order val="9"/>
          <c:tx>
            <c:strRef>
              <c:f>'SA Chart'!$K$3:$K$4</c:f>
              <c:strCache>
                <c:ptCount val="1"/>
                <c:pt idx="0">
                  <c:v>Wood 2</c:v>
                </c:pt>
              </c:strCache>
            </c:strRef>
          </c:tx>
          <c:cat>
            <c:strRef>
              <c:f>'SA Chart'!$A$5:$A$9</c:f>
              <c:strCache>
                <c:ptCount val="4"/>
                <c:pt idx="0">
                  <c:v>9/10/2009</c:v>
                </c:pt>
                <c:pt idx="1">
                  <c:v>8/18/2010</c:v>
                </c:pt>
                <c:pt idx="2">
                  <c:v>9/3/2010</c:v>
                </c:pt>
                <c:pt idx="3">
                  <c:v>5/17/2011</c:v>
                </c:pt>
              </c:strCache>
            </c:strRef>
          </c:cat>
          <c:val>
            <c:numRef>
              <c:f>'SA Chart'!$K$5:$K$9</c:f>
              <c:numCache>
                <c:formatCode>General</c:formatCode>
                <c:ptCount val="4"/>
                <c:pt idx="0">
                  <c:v>0.71750000000000003</c:v>
                </c:pt>
                <c:pt idx="1">
                  <c:v>0.64250000000000007</c:v>
                </c:pt>
                <c:pt idx="2">
                  <c:v>0.64250000000000007</c:v>
                </c:pt>
                <c:pt idx="3">
                  <c:v>0.54729550000000005</c:v>
                </c:pt>
              </c:numCache>
            </c:numRef>
          </c:val>
          <c:smooth val="0"/>
        </c:ser>
        <c:ser>
          <c:idx val="10"/>
          <c:order val="10"/>
          <c:tx>
            <c:strRef>
              <c:f>'SA Chart'!$L$3:$L$4</c:f>
              <c:strCache>
                <c:ptCount val="1"/>
                <c:pt idx="0">
                  <c:v>Wood 3</c:v>
                </c:pt>
              </c:strCache>
            </c:strRef>
          </c:tx>
          <c:cat>
            <c:strRef>
              <c:f>'SA Chart'!$A$5:$A$9</c:f>
              <c:strCache>
                <c:ptCount val="4"/>
                <c:pt idx="0">
                  <c:v>9/10/2009</c:v>
                </c:pt>
                <c:pt idx="1">
                  <c:v>8/18/2010</c:v>
                </c:pt>
                <c:pt idx="2">
                  <c:v>9/3/2010</c:v>
                </c:pt>
                <c:pt idx="3">
                  <c:v>5/17/2011</c:v>
                </c:pt>
              </c:strCache>
            </c:strRef>
          </c:cat>
          <c:val>
            <c:numRef>
              <c:f>'SA Chart'!$L$5:$L$9</c:f>
              <c:numCache>
                <c:formatCode>General</c:formatCode>
                <c:ptCount val="4"/>
                <c:pt idx="0">
                  <c:v>0.55000000000000004</c:v>
                </c:pt>
                <c:pt idx="1">
                  <c:v>0.52500000000000002</c:v>
                </c:pt>
                <c:pt idx="2">
                  <c:v>0.52500000000000002</c:v>
                </c:pt>
                <c:pt idx="3">
                  <c:v>0.38721407499999999</c:v>
                </c:pt>
              </c:numCache>
            </c:numRef>
          </c:val>
          <c:smooth val="0"/>
        </c:ser>
        <c:dLbls>
          <c:showLegendKey val="0"/>
          <c:showVal val="0"/>
          <c:showCatName val="0"/>
          <c:showSerName val="0"/>
          <c:showPercent val="0"/>
          <c:showBubbleSize val="0"/>
        </c:dLbls>
        <c:marker val="1"/>
        <c:smooth val="0"/>
        <c:axId val="83171584"/>
        <c:axId val="83173760"/>
      </c:lineChart>
      <c:catAx>
        <c:axId val="83171584"/>
        <c:scaling>
          <c:orientation val="minMax"/>
        </c:scaling>
        <c:delete val="0"/>
        <c:axPos val="b"/>
        <c:title>
          <c:tx>
            <c:rich>
              <a:bodyPr/>
              <a:lstStyle/>
              <a:p>
                <a:pPr>
                  <a:defRPr/>
                </a:pPr>
                <a:r>
                  <a:rPr lang="en-US"/>
                  <a:t>Sound Absorption Test Time [Year]</a:t>
                </a:r>
              </a:p>
            </c:rich>
          </c:tx>
          <c:layout/>
          <c:overlay val="0"/>
        </c:title>
        <c:majorTickMark val="out"/>
        <c:minorTickMark val="none"/>
        <c:tickLblPos val="nextTo"/>
        <c:txPr>
          <a:bodyPr rot="-2700000"/>
          <a:lstStyle/>
          <a:p>
            <a:pPr>
              <a:defRPr/>
            </a:pPr>
            <a:endParaRPr lang="en-US"/>
          </a:p>
        </c:txPr>
        <c:crossAx val="83173760"/>
        <c:crosses val="autoZero"/>
        <c:auto val="1"/>
        <c:lblAlgn val="ctr"/>
        <c:lblOffset val="100"/>
        <c:noMultiLvlLbl val="0"/>
      </c:catAx>
      <c:valAx>
        <c:axId val="83173760"/>
        <c:scaling>
          <c:orientation val="minMax"/>
        </c:scaling>
        <c:delete val="0"/>
        <c:axPos val="l"/>
        <c:majorGridlines/>
        <c:title>
          <c:tx>
            <c:rich>
              <a:bodyPr rot="-5400000" vert="horz"/>
              <a:lstStyle/>
              <a:p>
                <a:pPr>
                  <a:defRPr/>
                </a:pPr>
                <a:r>
                  <a:rPr lang="en-US"/>
                  <a:t>Coefficient of Sound Absorption[</a:t>
                </a:r>
                <a:r>
                  <a:rPr lang="el-GR">
                    <a:latin typeface="Times New Roman"/>
                    <a:cs typeface="Times New Roman"/>
                  </a:rPr>
                  <a:t>α</a:t>
                </a:r>
                <a:r>
                  <a:rPr lang="en-US"/>
                  <a:t>]</a:t>
                </a:r>
              </a:p>
            </c:rich>
          </c:tx>
          <c:layout/>
          <c:overlay val="0"/>
        </c:title>
        <c:numFmt formatCode="General" sourceLinked="1"/>
        <c:majorTickMark val="out"/>
        <c:minorTickMark val="none"/>
        <c:tickLblPos val="nextTo"/>
        <c:crossAx val="83171584"/>
        <c:crosses val="autoZero"/>
        <c:crossBetween val="between"/>
      </c:valAx>
    </c:plotArea>
    <c:legend>
      <c:legendPos val="r"/>
      <c:layout>
        <c:manualLayout>
          <c:xMode val="edge"/>
          <c:yMode val="edge"/>
          <c:x val="0.74943775100401611"/>
          <c:y val="9.0776350324630467E-2"/>
          <c:w val="0.24654618473895581"/>
          <c:h val="0.81844695399917111"/>
        </c:manualLayout>
      </c:layout>
      <c:overlay val="0"/>
      <c:txPr>
        <a:bodyPr/>
        <a:lstStyle/>
        <a:p>
          <a:pPr>
            <a:defRPr sz="800"/>
          </a:pPr>
          <a:endParaRPr lang="en-US"/>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4A86D-A343-4CD1-8210-566428191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831</Words>
  <Characters>5014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Innovation</vt:lpstr>
    </vt:vector>
  </TitlesOfParts>
  <Company>MNDOT</Company>
  <LinksUpToDate>false</LinksUpToDate>
  <CharactersWithSpaces>5834</CharactersWithSpaces>
  <SharedDoc>false</SharedDoc>
  <HLinks>
    <vt:vector size="18" baseType="variant">
      <vt:variant>
        <vt:i4>131082</vt:i4>
      </vt:variant>
      <vt:variant>
        <vt:i4>9</vt:i4>
      </vt:variant>
      <vt:variant>
        <vt:i4>0</vt:i4>
      </vt:variant>
      <vt:variant>
        <vt:i4>5</vt:i4>
      </vt:variant>
      <vt:variant>
        <vt:lpwstr>http://www.dot.state.mn.us/mnroad</vt:lpwstr>
      </vt:variant>
      <vt:variant>
        <vt:lpwstr/>
      </vt:variant>
      <vt:variant>
        <vt:i4>196652</vt:i4>
      </vt:variant>
      <vt:variant>
        <vt:i4>6</vt:i4>
      </vt:variant>
      <vt:variant>
        <vt:i4>0</vt:i4>
      </vt:variant>
      <vt:variant>
        <vt:i4>5</vt:i4>
      </vt:variant>
      <vt:variant>
        <vt:lpwstr>mailto:john.pantelis@state.mn.us</vt:lpwstr>
      </vt:variant>
      <vt:variant>
        <vt:lpwstr/>
      </vt:variant>
      <vt:variant>
        <vt:i4>6815833</vt:i4>
      </vt:variant>
      <vt:variant>
        <vt:i4>3</vt:i4>
      </vt:variant>
      <vt:variant>
        <vt:i4>0</vt:i4>
      </vt:variant>
      <vt:variant>
        <vt:i4>5</vt:i4>
      </vt:variant>
      <vt:variant>
        <vt:lpwstr>mailto:mark.watson@state.mn.us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Innovation</dc:title>
  <dc:creator>jens1mau</dc:creator>
  <cp:lastModifiedBy>Bernard Izevbekhai</cp:lastModifiedBy>
  <cp:revision>2</cp:revision>
  <cp:lastPrinted>2014-01-30T22:29:00Z</cp:lastPrinted>
  <dcterms:created xsi:type="dcterms:W3CDTF">2015-03-26T13:52:00Z</dcterms:created>
  <dcterms:modified xsi:type="dcterms:W3CDTF">2015-03-26T13:52:00Z</dcterms:modified>
</cp:coreProperties>
</file>